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g" ContentType="image/jpe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ustom.xml" ContentType="application/vnd.openxmlformats-officedocument.custom-properties+xml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spacing w:after="0" w:line="240" w:lineRule="auto"/>
        <w:jc w:val="center"/>
        <w:rPr>
          <w:rFonts w:eastAsia="Times New Roman"/>
          <w:sz w:val="20"/>
          <w:szCs w:val="20"/>
          <w:lang w:eastAsia="ru-RU"/>
        </w:rPr>
      </w:pPr>
      <w:r>
        <w:rPr>
          <w:rFonts w:eastAsia="Times New Roman"/>
          <w:sz w:val="20"/>
          <w:szCs w:val="20"/>
          <w:lang w:eastAsia="ru-RU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647700" cy="885825"/>
                <wp:effectExtent l="0" t="0" r="0" b="9525"/>
                <wp:docPr id="1" name="Изображение 1" descr="Описание: Gerb_New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Изображение 1" descr="Описание: Gerb_New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10"/>
                        <a:stretch/>
                      </pic:blipFill>
                      <pic:spPr bwMode="auto">
                        <a:xfrm>
                          <a:off x="0" y="0"/>
                          <a:ext cx="647700" cy="8858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width:51.00pt;height:69.75pt;mso-wrap-distance-left:0.00pt;mso-wrap-distance-top:0.00pt;mso-wrap-distance-right:0.00pt;mso-wrap-distance-bottom:0.00pt;" stroked="f">
                <v:path textboxrect="0,0,0,0"/>
                <v:imagedata r:id="rId10" o:title=""/>
              </v:shape>
            </w:pict>
          </mc:Fallback>
        </mc:AlternateContent>
      </w:r>
    </w:p>
    <w:p>
      <w:pPr>
        <w:spacing w:after="0" w:line="240" w:lineRule="auto"/>
        <w:jc w:val="center"/>
        <w:rPr>
          <w:rFonts w:eastAsia="Times New Roman"/>
          <w:b/>
          <w:sz w:val="24"/>
          <w:szCs w:val="24"/>
          <w:lang w:val="en-US" w:eastAsia="ru-RU"/>
        </w:rPr>
      </w:pPr>
    </w:p>
    <w:p>
      <w:pPr>
        <w:spacing w:after="0" w:line="240" w:lineRule="auto"/>
        <w:jc w:val="center"/>
        <w:rPr>
          <w:rFonts w:eastAsia="Times New Roman"/>
          <w:b/>
          <w:lang w:eastAsia="ru-RU"/>
        </w:rPr>
      </w:pPr>
      <w:r>
        <w:rPr>
          <w:rFonts w:eastAsia="Times New Roman"/>
          <w:b/>
          <w:lang w:eastAsia="ru-RU"/>
        </w:rPr>
        <w:t xml:space="preserve">БЕЛОЯРСКИЙ РАЙОН</w:t>
      </w:r>
    </w:p>
    <w:p>
      <w:pPr>
        <w:keepNext/>
        <w:spacing w:after="0" w:line="240" w:lineRule="auto"/>
        <w:jc w:val="center"/>
        <w:outlineLvl w:val="2"/>
        <w:rPr>
          <w:rFonts w:eastAsia="Times New Roman"/>
          <w:b/>
          <w:sz w:val="24"/>
          <w:szCs w:val="24"/>
          <w:lang w:eastAsia="ru-RU"/>
        </w:rPr>
      </w:pPr>
      <w:r>
        <w:rPr>
          <w:rFonts w:eastAsia="Times New Roman"/>
          <w:b/>
          <w:sz w:val="20"/>
          <w:szCs w:val="20"/>
          <w:lang w:eastAsia="ru-RU"/>
        </w:rPr>
        <w:t xml:space="preserve">ХАНТЫ-МАНСИЙСКИЙ АВТОНОМНЫЙ ОКРУГ – ЮГРА</w:t>
      </w:r>
    </w:p>
    <w:p>
      <w:pPr>
        <w:spacing w:after="0" w:line="240" w:lineRule="auto"/>
        <w:jc w:val="center"/>
        <w:rPr>
          <w:rFonts w:eastAsia="Times New Roman"/>
          <w:sz w:val="24"/>
          <w:szCs w:val="24"/>
          <w:lang w:eastAsia="ru-RU"/>
        </w:rPr>
      </w:pPr>
    </w:p>
    <w:p>
      <w:pPr>
        <w:spacing w:after="0" w:line="240" w:lineRule="auto"/>
        <w:jc w:val="center"/>
        <w:rPr>
          <w:rFonts w:eastAsia="Times New Roman"/>
          <w:b/>
          <w:sz w:val="24"/>
          <w:szCs w:val="24"/>
          <w:lang w:eastAsia="ru-RU"/>
        </w:rPr>
      </w:pPr>
    </w:p>
    <w:p>
      <w:pPr>
        <w:keepNext/>
        <w:spacing w:after="0" w:line="240" w:lineRule="auto"/>
        <w:jc w:val="center"/>
        <w:outlineLvl w:val="0"/>
        <w:rPr>
          <w:rFonts w:eastAsia="Times New Roman"/>
          <w:b/>
          <w:sz w:val="28"/>
          <w:szCs w:val="28"/>
          <w:lang w:eastAsia="ru-RU"/>
        </w:rPr>
      </w:pPr>
      <w:r>
        <w:rPr>
          <w:rFonts w:eastAsia="Times New Roman"/>
          <w:b/>
          <w:sz w:val="28"/>
          <w:szCs w:val="28"/>
          <w:lang w:eastAsia="ru-RU"/>
        </w:rPr>
        <w:t xml:space="preserve">АДМИНИСТРАЦИЯ БЕЛОЯРСКОГО РАЙОНА</w:t>
      </w:r>
    </w:p>
    <w:p>
      <w:pPr>
        <w:spacing w:after="0" w:line="240" w:lineRule="auto"/>
        <w:jc w:val="center"/>
        <w:rPr>
          <w:rFonts w:eastAsia="Times New Roman"/>
          <w:b/>
          <w:bCs/>
          <w:sz w:val="20"/>
          <w:szCs w:val="20"/>
          <w:lang w:eastAsia="ru-RU"/>
        </w:rPr>
      </w:pPr>
    </w:p>
    <w:p>
      <w:pPr>
        <w:spacing w:after="0" w:line="240" w:lineRule="auto"/>
        <w:jc w:val="center"/>
        <w:rPr>
          <w:rFonts w:eastAsia="Times New Roman"/>
          <w:b/>
          <w:bCs/>
          <w:sz w:val="20"/>
          <w:szCs w:val="20"/>
          <w:lang w:eastAsia="ru-RU"/>
        </w:rPr>
      </w:pPr>
    </w:p>
    <w:p>
      <w:pPr>
        <w:pStyle w:val="2"/>
        <w:jc w:val="center"/>
        <w:rPr>
          <w:rFonts w:ascii="Times New Roman" w:hAnsi="Times New Roman"/>
          <w:b/>
          <w:color w:val="auto"/>
          <w:sz w:val="28"/>
          <w:szCs w:val="28"/>
          <w:lang w:eastAsia="ru-RU"/>
        </w:rPr>
      </w:pPr>
      <w:r>
        <w:rPr>
          <w:rFonts w:ascii="Times New Roman" w:hAnsi="Times New Roman"/>
          <w:b/>
          <w:color w:val="auto"/>
          <w:sz w:val="28"/>
          <w:szCs w:val="28"/>
          <w:lang w:eastAsia="ru-RU"/>
        </w:rPr>
        <w:t xml:space="preserve">ПОСТАНОВЛЕНИЕ</w:t>
      </w:r>
    </w:p>
    <w:p>
      <w:pPr>
        <w:spacing w:after="0" w:line="240" w:lineRule="auto"/>
        <w:ind w:firstLine="709"/>
        <w:jc w:val="center"/>
        <w:rPr>
          <w:rFonts w:eastAsia="Times New Roman"/>
          <w:sz w:val="24"/>
          <w:szCs w:val="24"/>
          <w:lang w:eastAsia="ru-RU"/>
        </w:rPr>
      </w:pPr>
    </w:p>
    <w:p>
      <w:pPr>
        <w:spacing w:after="0" w:line="240" w:lineRule="auto"/>
        <w:ind w:firstLine="709"/>
        <w:jc w:val="center"/>
        <w:rPr>
          <w:rFonts w:eastAsia="Times New Roman"/>
          <w:sz w:val="24"/>
          <w:szCs w:val="24"/>
          <w:lang w:eastAsia="ru-RU"/>
        </w:rPr>
      </w:pPr>
    </w:p>
    <w:p>
      <w:pPr>
        <w:spacing w:after="0" w:line="240" w:lineRule="auto"/>
        <w:jc w:val="center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от 25 ноября 2025 года                                                                                                                     № 771</w:t>
      </w:r>
    </w:p>
    <w:p>
      <w:pPr>
        <w:spacing w:after="0" w:line="240" w:lineRule="auto"/>
        <w:ind w:firstLine="709"/>
        <w:jc w:val="center"/>
        <w:rPr>
          <w:rFonts w:eastAsia="Times New Roman"/>
          <w:sz w:val="24"/>
          <w:szCs w:val="24"/>
          <w:lang w:eastAsia="ru-RU"/>
        </w:rPr>
      </w:pPr>
    </w:p>
    <w:p>
      <w:pPr>
        <w:spacing w:after="0" w:line="240" w:lineRule="auto"/>
        <w:ind w:firstLine="709"/>
        <w:jc w:val="center"/>
        <w:rPr>
          <w:rFonts w:eastAsia="Times New Roman"/>
          <w:sz w:val="24"/>
          <w:szCs w:val="24"/>
          <w:lang w:eastAsia="ru-RU"/>
        </w:rPr>
      </w:pPr>
    </w:p>
    <w:p>
      <w:pPr>
        <w:spacing w:after="0" w:line="240" w:lineRule="auto"/>
        <w:ind w:firstLine="709"/>
        <w:jc w:val="center"/>
        <w:rPr>
          <w:rFonts w:eastAsia="Times New Roman"/>
          <w:b/>
          <w:bCs/>
          <w:sz w:val="24"/>
          <w:szCs w:val="24"/>
          <w:lang w:eastAsia="ru-RU"/>
        </w:rPr>
      </w:pPr>
      <w:r>
        <w:rPr>
          <w:rFonts w:eastAsia="Times New Roman"/>
          <w:b/>
          <w:bCs/>
          <w:sz w:val="24"/>
          <w:szCs w:val="24"/>
          <w:lang w:eastAsia="ru-RU"/>
        </w:rPr>
        <w:t xml:space="preserve">О внесении изменений в приложение к постановлению</w:t>
      </w:r>
    </w:p>
    <w:p>
      <w:pPr>
        <w:spacing w:after="0" w:line="240" w:lineRule="auto"/>
        <w:ind w:firstLine="709"/>
        <w:jc w:val="center"/>
        <w:rPr>
          <w:rFonts w:eastAsia="Times New Roman"/>
          <w:b/>
          <w:bCs/>
          <w:sz w:val="24"/>
          <w:szCs w:val="24"/>
          <w:lang w:eastAsia="ru-RU"/>
        </w:rPr>
      </w:pPr>
      <w:r>
        <w:rPr>
          <w:rFonts w:eastAsia="Times New Roman"/>
          <w:b/>
          <w:bCs/>
          <w:sz w:val="24"/>
          <w:szCs w:val="24"/>
          <w:lang w:eastAsia="ru-RU"/>
        </w:rPr>
        <w:t xml:space="preserve">администрации Белоярского района от </w:t>
      </w:r>
      <w:r>
        <w:rPr>
          <w:rFonts w:eastAsia="Times New Roman"/>
          <w:b/>
          <w:bCs/>
          <w:sz w:val="24"/>
          <w:szCs w:val="24"/>
          <w:lang w:eastAsia="ru-RU"/>
        </w:rPr>
        <w:t xml:space="preserve">3</w:t>
      </w:r>
      <w:r>
        <w:rPr>
          <w:rFonts w:eastAsia="Times New Roman"/>
          <w:b/>
          <w:bCs/>
          <w:sz w:val="24"/>
          <w:szCs w:val="24"/>
          <w:lang w:eastAsia="ru-RU"/>
        </w:rPr>
        <w:t xml:space="preserve"> декабря 2024 года № </w:t>
      </w:r>
      <w:r>
        <w:rPr>
          <w:rFonts w:eastAsia="Times New Roman"/>
          <w:b/>
          <w:bCs/>
          <w:sz w:val="24"/>
          <w:szCs w:val="24"/>
          <w:lang w:eastAsia="ru-RU"/>
        </w:rPr>
        <w:t xml:space="preserve">8</w:t>
      </w:r>
      <w:r>
        <w:rPr>
          <w:rFonts w:eastAsia="Times New Roman"/>
          <w:b/>
          <w:bCs/>
          <w:sz w:val="24"/>
          <w:szCs w:val="24"/>
          <w:lang w:eastAsia="ru-RU"/>
        </w:rPr>
        <w:t xml:space="preserve">27</w:t>
      </w:r>
    </w:p>
    <w:p>
      <w:pPr>
        <w:spacing w:after="0" w:line="240" w:lineRule="auto"/>
        <w:ind w:firstLine="709"/>
        <w:jc w:val="center"/>
        <w:rPr>
          <w:rFonts w:eastAsia="Times New Roman"/>
          <w:b/>
          <w:bCs/>
          <w:sz w:val="24"/>
          <w:szCs w:val="24"/>
          <w:lang w:eastAsia="ru-RU"/>
        </w:rPr>
      </w:pPr>
    </w:p>
    <w:p>
      <w:pPr>
        <w:spacing w:after="0" w:line="240" w:lineRule="auto"/>
        <w:ind w:firstLine="709"/>
        <w:jc w:val="center"/>
        <w:rPr>
          <w:rFonts w:eastAsia="Times New Roman"/>
          <w:b/>
          <w:bCs/>
          <w:sz w:val="24"/>
          <w:szCs w:val="24"/>
          <w:lang w:eastAsia="ru-RU"/>
        </w:rPr>
      </w:pPr>
    </w:p>
    <w:p>
      <w:pPr>
        <w:spacing w:after="0" w:line="240" w:lineRule="auto"/>
        <w:ind w:firstLine="709"/>
        <w:jc w:val="center"/>
        <w:rPr>
          <w:rFonts w:eastAsia="Times New Roman"/>
          <w:b/>
          <w:bCs/>
          <w:sz w:val="24"/>
          <w:szCs w:val="24"/>
          <w:lang w:eastAsia="ru-RU"/>
        </w:rPr>
      </w:pPr>
    </w:p>
    <w:p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П о с т а н о в л я ю:</w:t>
      </w:r>
    </w:p>
    <w:p>
      <w:pPr>
        <w:numPr>
          <w:numId w:val="1"/>
          <w:ilvl w:val="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Внести в приложение «Муниципальная программа Белоярского района «</w:t>
      </w:r>
      <w:r>
        <w:rPr>
          <w:sz w:val="24"/>
          <w:szCs w:val="24"/>
        </w:rPr>
        <w:t xml:space="preserve">Защита населения от чрезвычайных ситуаций, обеспечение пожарной безопасности объектов муниципальной собственности и безопасности людей на водных объектах</w:t>
      </w:r>
      <w:r>
        <w:rPr>
          <w:rFonts w:eastAsia="Times New Roman"/>
          <w:sz w:val="24"/>
          <w:szCs w:val="24"/>
          <w:lang w:eastAsia="ru-RU"/>
        </w:rPr>
        <w:t xml:space="preserve">» (далее – Программа) к постановлению администрации Белоярского района от </w:t>
      </w:r>
      <w:r>
        <w:rPr>
          <w:rFonts w:eastAsia="Times New Roman"/>
          <w:sz w:val="24"/>
          <w:szCs w:val="24"/>
          <w:lang w:eastAsia="ru-RU"/>
        </w:rPr>
        <w:t xml:space="preserve">3</w:t>
      </w:r>
      <w:r>
        <w:rPr>
          <w:rFonts w:eastAsia="Times New Roman"/>
          <w:sz w:val="24"/>
          <w:szCs w:val="24"/>
          <w:lang w:eastAsia="ru-RU"/>
        </w:rPr>
        <w:t xml:space="preserve"> декабря 2024 года № 8</w:t>
      </w:r>
      <w:r>
        <w:rPr>
          <w:rFonts w:eastAsia="Times New Roman"/>
          <w:sz w:val="24"/>
          <w:szCs w:val="24"/>
          <w:lang w:eastAsia="ru-RU"/>
        </w:rPr>
        <w:t xml:space="preserve">27</w:t>
      </w:r>
      <w:r>
        <w:rPr>
          <w:rFonts w:eastAsia="Times New Roman"/>
          <w:sz w:val="24"/>
          <w:szCs w:val="24"/>
          <w:lang w:eastAsia="ru-RU"/>
        </w:rPr>
        <w:t xml:space="preserve"> «Об утверждении муниципальной программы Белоярского района «</w:t>
      </w:r>
      <w:r>
        <w:rPr>
          <w:sz w:val="24"/>
          <w:szCs w:val="24"/>
        </w:rPr>
        <w:t xml:space="preserve">Защита населения от чрезвычайных ситуаций, обеспечение пожарной безопасности объектов муниципаль</w:t>
      </w:r>
      <w:r>
        <w:rPr>
          <w:sz w:val="24"/>
          <w:szCs w:val="24"/>
        </w:rPr>
        <w:t xml:space="preserve">ной собственности и безопасности людей на водных объектах</w:t>
      </w:r>
      <w:r>
        <w:rPr>
          <w:rFonts w:eastAsia="Times New Roman"/>
          <w:sz w:val="24"/>
          <w:szCs w:val="24"/>
          <w:lang w:eastAsia="ru-RU"/>
        </w:rPr>
        <w:t xml:space="preserve">» следующие изменения:</w:t>
      </w:r>
    </w:p>
    <w:p>
      <w:pPr>
        <w:numPr>
          <w:numId w:val="2"/>
          <w:ilvl w:val="0"/>
        </w:numPr>
        <w:tabs>
          <w:tab w:val="left" w:pos="1134"/>
        </w:tabs>
        <w:spacing w:after="0" w:line="240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  <w:lang w:eastAsia="zh-CN" w:bidi="ar"/>
        </w:rPr>
        <w:t xml:space="preserve">строку «Объемы финансового обеспечения за весь период реализации» </w:t>
      </w:r>
      <w:r>
        <w:rPr>
          <w:sz w:val="24"/>
          <w:szCs w:val="24"/>
        </w:rPr>
        <w:t xml:space="preserve">раздела 1 «Основные положения» Паспорта муниципальной программы Белоярского района </w:t>
      </w:r>
      <w:r>
        <w:rPr>
          <w:color w:val="000000"/>
          <w:sz w:val="24"/>
          <w:szCs w:val="24"/>
          <w:shd w:val="clear" w:color="auto" w:fill="ffffff"/>
          <w:lang w:eastAsia="zh-CN" w:bidi="ar"/>
        </w:rPr>
        <w:t xml:space="preserve">«</w:t>
      </w:r>
      <w:r>
        <w:rPr>
          <w:sz w:val="24"/>
          <w:szCs w:val="24"/>
        </w:rPr>
        <w:t xml:space="preserve">Защита населения от чрезвы</w:t>
      </w:r>
      <w:r>
        <w:rPr>
          <w:sz w:val="24"/>
          <w:szCs w:val="24"/>
        </w:rPr>
        <w:t xml:space="preserve">чайных ситуаций, обеспечение пожарной безопасности объектов муниципальной собственности и безопасности людей на водных объектах</w:t>
      </w:r>
      <w:r>
        <w:rPr>
          <w:color w:val="000000"/>
          <w:sz w:val="24"/>
          <w:szCs w:val="24"/>
          <w:shd w:val="clear" w:color="auto" w:fill="ffffff"/>
          <w:lang w:eastAsia="zh-CN" w:bidi="ar"/>
        </w:rPr>
        <w:t xml:space="preserve">»</w:t>
      </w:r>
      <w:r>
        <w:rPr>
          <w:sz w:val="24"/>
          <w:szCs w:val="24"/>
        </w:rPr>
        <w:t xml:space="preserve"> (далее – Паспорт муниципальной программы) изложить в следующей редакции:</w:t>
      </w:r>
    </w:p>
    <w:p>
      <w:pPr>
        <w:spacing w:after="0"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«</w:t>
      </w:r>
    </w:p>
    <w:tbl>
      <w:tblPr>
        <w:tblW w:w="10065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6521"/>
        <w:gridCol w:w="3544"/>
      </w:tblGrid>
      <w:tr>
        <w:trPr>
          <w:trHeight w:val="356"/>
        </w:trPr>
        <w:tc>
          <w:tcPr>
            <w:tcW w:w="6521" w:type="dxa"/>
            <w:vAlign w:val="center"/>
          </w:tcPr>
          <w:p>
            <w:pPr>
              <w:spacing w:after="0"/>
              <w:ind w:right="459"/>
              <w:rPr>
                <w:sz w:val="24"/>
                <w:szCs w:val="24"/>
              </w:rPr>
            </w:pPr>
            <w:r>
              <w:t xml:space="preserve">Объемы финансового обеспечения за весь период реализ</w:t>
            </w:r>
            <w:r>
              <w:t xml:space="preserve">ации</w:t>
            </w:r>
          </w:p>
        </w:tc>
        <w:tc>
          <w:tcPr>
            <w:tcW w:w="3544" w:type="dxa"/>
            <w:vAlign w:val="center"/>
          </w:tcPr>
          <w:p>
            <w:pPr>
              <w:widowControl w:val="off"/>
              <w:spacing w:after="0"/>
              <w:rPr>
                <w:sz w:val="24"/>
                <w:szCs w:val="24"/>
              </w:rPr>
            </w:pPr>
            <w:r>
              <w:rPr>
                <w:lang w:val="en-US"/>
              </w:rPr>
              <w:t xml:space="preserve">134</w:t>
            </w:r>
            <w:r>
              <w:t xml:space="preserve"> 767,1 тысяч рублей</w:t>
            </w:r>
          </w:p>
        </w:tc>
      </w:tr>
    </w:tbl>
    <w:p>
      <w:pPr>
        <w:spacing w:after="0" w:line="240" w:lineRule="auto"/>
        <w:ind w:left="1069"/>
        <w:jc w:val="right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»;</w:t>
      </w:r>
    </w:p>
    <w:p>
      <w:pPr>
        <w:numPr>
          <w:numId w:val="2"/>
          <w:ilvl w:val="0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eastAsia="Times New Roman"/>
          <w:sz w:val="24"/>
          <w:szCs w:val="24"/>
          <w:lang w:eastAsia="ru-RU"/>
        </w:rPr>
      </w:pPr>
      <w:r>
        <w:rPr>
          <w:sz w:val="24"/>
          <w:szCs w:val="24"/>
        </w:rPr>
        <w:t xml:space="preserve">раздел 4 «Финансовое обеспечение муниципальной программы» Паспорта муниципальной программы изложить в редакции согласно приложению к настоящему постановлению</w:t>
      </w:r>
      <w:r>
        <w:rPr>
          <w:rFonts w:eastAsia="Times New Roman"/>
          <w:sz w:val="24"/>
          <w:szCs w:val="24"/>
          <w:lang w:eastAsia="ru-RU"/>
        </w:rPr>
        <w:t xml:space="preserve">.</w:t>
      </w:r>
    </w:p>
    <w:p>
      <w:pPr>
        <w:numPr>
          <w:numId w:val="3"/>
          <w:ilvl w:val="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Опубликовать настоящее постановление в газете «Белоярские вести. Официальный выпуск».</w:t>
      </w:r>
    </w:p>
    <w:p>
      <w:pPr>
        <w:numPr>
          <w:numId w:val="3"/>
          <w:ilvl w:val="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Настоящее постановление вступает в силу после официального опубликования.</w:t>
      </w:r>
    </w:p>
    <w:p>
      <w:pPr>
        <w:numPr>
          <w:numId w:val="3"/>
          <w:ilvl w:val="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color w:val="000000"/>
          <w:sz w:val="24"/>
          <w:szCs w:val="24"/>
          <w:lang w:eastAsia="ru-RU"/>
        </w:rPr>
        <w:t xml:space="preserve">Контроль за выполнением постановления возложить на </w:t>
      </w:r>
      <w:r>
        <w:rPr>
          <w:sz w:val="24"/>
          <w:szCs w:val="24"/>
        </w:rPr>
        <w:t xml:space="preserve">первого заместителя главы Белоярского района </w:t>
      </w:r>
      <w:r>
        <w:rPr>
          <w:sz w:val="24"/>
          <w:szCs w:val="24"/>
        </w:rPr>
        <w:t xml:space="preserve">Ойнец А.В.</w:t>
      </w:r>
    </w:p>
    <w:p>
      <w:pPr>
        <w:spacing w:after="0" w:line="240" w:lineRule="auto"/>
        <w:ind w:firstLine="709"/>
        <w:jc w:val="both"/>
        <w:rPr>
          <w:rFonts w:eastAsia="Times New Roman"/>
          <w:color w:val="000000"/>
          <w:sz w:val="24"/>
          <w:szCs w:val="24"/>
          <w:lang w:eastAsia="ru-RU"/>
        </w:rPr>
      </w:pPr>
    </w:p>
    <w:p>
      <w:pPr>
        <w:spacing w:after="0" w:line="240" w:lineRule="auto"/>
        <w:ind w:firstLine="709"/>
        <w:jc w:val="both"/>
        <w:rPr>
          <w:rFonts w:eastAsia="Times New Roman"/>
          <w:color w:val="000000"/>
          <w:sz w:val="24"/>
          <w:szCs w:val="24"/>
          <w:lang w:eastAsia="ru-RU"/>
        </w:rPr>
      </w:pPr>
    </w:p>
    <w:p>
      <w:pPr>
        <w:spacing w:after="0" w:line="240" w:lineRule="auto"/>
        <w:ind w:firstLine="709"/>
        <w:jc w:val="both"/>
        <w:rPr>
          <w:rFonts w:eastAsia="Times New Roman"/>
          <w:color w:val="000000"/>
          <w:sz w:val="24"/>
          <w:szCs w:val="24"/>
          <w:lang w:eastAsia="ru-RU"/>
        </w:rPr>
      </w:pPr>
    </w:p>
    <w:p>
      <w:pPr>
        <w:spacing w:after="0" w:line="240" w:lineRule="auto"/>
        <w:jc w:val="both"/>
        <w:rPr>
          <w:rFonts w:eastAsia="Times New Roman"/>
          <w:sz w:val="24"/>
          <w:szCs w:val="20"/>
          <w:lang w:eastAsia="ru-RU"/>
        </w:rPr>
        <w:sectPr>
          <w:headerReference w:type="default" r:id="rId9"/>
          <w:pgSz w:w="11906" w:h="16838"/>
          <w:pgMar w:top="720" w:right="720" w:bottom="720" w:left="1134" w:header="708" w:footer="708" w:gutter="0"/>
          <w:cols w:space="720"/>
          <w:docGrid w:linePitch="360"/>
          <w:titlePg/>
        </w:sectPr>
      </w:pPr>
      <w:r>
        <w:rPr>
          <w:rFonts w:eastAsia="Times New Roman"/>
          <w:sz w:val="24"/>
          <w:szCs w:val="20"/>
          <w:lang w:eastAsia="ru-RU"/>
        </w:rPr>
        <w:t xml:space="preserve">Глава Белоярского района                                                                                                 С.П.Маненков</w:t>
      </w:r>
    </w:p>
    <w:p>
      <w:pPr>
        <w:spacing w:after="0" w:line="240" w:lineRule="auto"/>
        <w:jc w:val="right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Приложение </w:t>
      </w:r>
      <w:bookmarkStart w:id="0" w:name="_GoBack"/>
      <w:bookmarkEnd w:id="0"/>
    </w:p>
    <w:p>
      <w:pPr>
        <w:spacing w:after="0" w:line="240" w:lineRule="auto"/>
        <w:jc w:val="right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к постановлению администрации</w:t>
      </w:r>
    </w:p>
    <w:p>
      <w:pPr>
        <w:spacing w:after="0" w:line="240" w:lineRule="auto"/>
        <w:jc w:val="right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 Белоярского района </w:t>
      </w:r>
    </w:p>
    <w:p>
      <w:pPr>
        <w:spacing w:after="0" w:line="240" w:lineRule="auto"/>
        <w:jc w:val="right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от 25 ноября 2025 года № 771</w:t>
      </w:r>
    </w:p>
    <w:p>
      <w:pPr>
        <w:jc w:val="center"/>
        <w:rPr>
          <w:rFonts w:eastAsia="Times New Roman"/>
          <w:sz w:val="24"/>
          <w:szCs w:val="24"/>
          <w:lang w:eastAsia="ru-RU"/>
        </w:rPr>
      </w:pPr>
    </w:p>
    <w:p>
      <w:pPr>
        <w:spacing w:after="0"/>
        <w:jc w:val="center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И З М Е Н Е Н И Я,</w:t>
      </w:r>
    </w:p>
    <w:p>
      <w:pPr>
        <w:pStyle w:val="ConsPlusNormal"/>
        <w:jc w:val="center"/>
        <w:outlineLvl w:val="2"/>
        <w:rPr>
          <w:rFonts w:ascii="Times New Roman" w:hAnsi="Times New Roman" w:cs="Calibri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вносимые в раздел 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муниципальной программы Белоярского района</w:t>
      </w:r>
    </w:p>
    <w:p>
      <w:pPr>
        <w:spacing w:after="0" w:line="240" w:lineRule="auto"/>
        <w:jc w:val="center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«</w:t>
      </w:r>
      <w:r>
        <w:rPr>
          <w:sz w:val="24"/>
          <w:szCs w:val="24"/>
        </w:rPr>
        <w:t xml:space="preserve">Защита населения от чрезвычайных ситуаций, обеспечение пожарной безопасности объектов муниципальной собственности и безопасности людей на водных объектах</w:t>
      </w:r>
      <w:r>
        <w:rPr>
          <w:rFonts w:eastAsia="Times New Roman"/>
          <w:sz w:val="24"/>
          <w:szCs w:val="24"/>
          <w:lang w:eastAsia="ru-RU"/>
        </w:rPr>
        <w:t xml:space="preserve">»</w:t>
      </w:r>
    </w:p>
    <w:p>
      <w:pPr>
        <w:pStyle w:val="2"/>
        <w:jc w:val="right"/>
        <w:rPr>
          <w:rFonts w:ascii="Times New Roman" w:hAnsi="Times New Roman"/>
          <w:color w:val="auto"/>
          <w:sz w:val="24"/>
          <w:szCs w:val="24"/>
          <w:lang w:eastAsia="ru-RU"/>
        </w:rPr>
      </w:pPr>
    </w:p>
    <w:p>
      <w:pPr>
        <w:widowControl w:val="off"/>
        <w:spacing w:after="0" w:line="240" w:lineRule="auto"/>
        <w:jc w:val="center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«4. Финансовое</w:t>
      </w:r>
      <w:r>
        <w:rPr>
          <w:rFonts w:eastAsia="Times New Roman"/>
          <w:sz w:val="24"/>
          <w:szCs w:val="24"/>
          <w:lang w:val="en-US" w:eastAsia="ru-RU"/>
        </w:rPr>
        <w:t xml:space="preserve"> обеспечение</w:t>
      </w:r>
      <w:r>
        <w:rPr>
          <w:rFonts w:eastAsia="Times New Roman"/>
          <w:sz w:val="24"/>
          <w:szCs w:val="24"/>
          <w:lang w:eastAsia="ru-RU"/>
        </w:rPr>
        <w:t xml:space="preserve"> муниципальной программы</w:t>
      </w:r>
    </w:p>
    <w:tbl>
      <w:tblPr>
        <w:tblpPr w:horzAnchor="page" w:tblpX="921" w:vertAnchor="text" w:tblpY="301" w:leftFromText="180" w:rightFromText="180"/>
        <w:tblW w:w="15208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53"/>
        <w:gridCol w:w="7144"/>
        <w:gridCol w:w="1045"/>
        <w:gridCol w:w="1046"/>
        <w:gridCol w:w="1046"/>
        <w:gridCol w:w="1046"/>
        <w:gridCol w:w="1046"/>
        <w:gridCol w:w="1046"/>
        <w:gridCol w:w="1136"/>
      </w:tblGrid>
      <w:tr>
        <w:trPr>
          <w:trHeight w:val="328"/>
          <w:tblHeader/>
        </w:trPr>
        <w:tc>
          <w:tcPr>
            <w:tcW w:w="65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 xml:space="preserve">№ п/п</w:t>
            </w:r>
          </w:p>
        </w:tc>
        <w:tc>
          <w:tcPr>
            <w:tcW w:w="714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 xml:space="preserve">Наименование муниципальной программы, струк</w:t>
            </w:r>
            <w:r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 xml:space="preserve">турного элемента, мероприятия (результата), источник финансового обеспечения</w:t>
            </w:r>
            <w:r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br/>
            </w:r>
          </w:p>
        </w:tc>
        <w:tc>
          <w:tcPr>
            <w:tcW w:w="7411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 xml:space="preserve">Объем финансового обеспечения по годам, тыс. рублей</w:t>
            </w:r>
          </w:p>
        </w:tc>
      </w:tr>
      <w:tr>
        <w:trPr>
          <w:trHeight w:val="300"/>
          <w:tblHeader/>
        </w:trPr>
        <w:tc>
          <w:tcPr>
            <w:tcW w:w="65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14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 xml:space="preserve">2025 год</w:t>
            </w:r>
          </w:p>
        </w:tc>
        <w:tc>
          <w:tcPr>
            <w:tcW w:w="1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 xml:space="preserve">2026 год</w:t>
            </w:r>
          </w:p>
        </w:tc>
        <w:tc>
          <w:tcPr>
            <w:tcW w:w="1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 xml:space="preserve">2027 год</w:t>
            </w:r>
          </w:p>
        </w:tc>
        <w:tc>
          <w:tcPr>
            <w:tcW w:w="1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 xml:space="preserve">2028 год</w:t>
            </w:r>
          </w:p>
        </w:tc>
        <w:tc>
          <w:tcPr>
            <w:tcW w:w="1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 xml:space="preserve">2029 год</w:t>
            </w:r>
          </w:p>
        </w:tc>
        <w:tc>
          <w:tcPr>
            <w:tcW w:w="1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 xml:space="preserve">2030 год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 xml:space="preserve">Всего</w:t>
            </w:r>
          </w:p>
        </w:tc>
      </w:tr>
      <w:tr>
        <w:trPr>
          <w:trHeight w:val="300"/>
          <w:tblHeader/>
        </w:trPr>
        <w:tc>
          <w:tcPr>
            <w:tcW w:w="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 xml:space="preserve">1</w:t>
            </w:r>
          </w:p>
        </w:tc>
        <w:tc>
          <w:tcPr>
            <w:tcW w:w="7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 xml:space="preserve">2</w:t>
            </w:r>
          </w:p>
        </w:tc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 xml:space="preserve">4</w:t>
            </w:r>
          </w:p>
        </w:tc>
        <w:tc>
          <w:tcPr>
            <w:tcW w:w="1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 xml:space="preserve">5</w:t>
            </w:r>
          </w:p>
        </w:tc>
        <w:tc>
          <w:tcPr>
            <w:tcW w:w="1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 xml:space="preserve">6</w:t>
            </w:r>
          </w:p>
        </w:tc>
        <w:tc>
          <w:tcPr>
            <w:tcW w:w="1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 xml:space="preserve">7</w:t>
            </w:r>
          </w:p>
        </w:tc>
        <w:tc>
          <w:tcPr>
            <w:tcW w:w="1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 xml:space="preserve">8</w:t>
            </w:r>
          </w:p>
        </w:tc>
        <w:tc>
          <w:tcPr>
            <w:tcW w:w="1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 xml:space="preserve">9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 xml:space="preserve">10</w:t>
            </w:r>
          </w:p>
        </w:tc>
      </w:tr>
      <w:tr>
        <w:trPr>
          <w:trHeight w:val="739"/>
        </w:trPr>
        <w:tc>
          <w:tcPr>
            <w:tcW w:w="65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100" w:afterAutospacing="1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100" w:afterAutospacing="1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zh-CN" w:bidi="ar"/>
              </w:rPr>
              <w:t xml:space="preserve">Муниципальная программа «Защита населения от чрезвычайных ситуаций, обеспечение пожарной безопасности объектов муниципальной собственности и безопасности людей на водных объектах» (всего), в том числе:</w:t>
            </w:r>
          </w:p>
        </w:tc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26 224,9</w:t>
            </w:r>
          </w:p>
        </w:tc>
        <w:tc>
          <w:tcPr>
            <w:tcW w:w="1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21 607,8</w:t>
            </w:r>
          </w:p>
        </w:tc>
        <w:tc>
          <w:tcPr>
            <w:tcW w:w="1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21 733,6</w:t>
            </w:r>
          </w:p>
        </w:tc>
        <w:tc>
          <w:tcPr>
            <w:tcW w:w="1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21 733,6</w:t>
            </w:r>
          </w:p>
        </w:tc>
        <w:tc>
          <w:tcPr>
            <w:tcW w:w="1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21 733,6</w:t>
            </w:r>
          </w:p>
        </w:tc>
        <w:tc>
          <w:tcPr>
            <w:tcW w:w="1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21 733,6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134 767,1</w:t>
            </w:r>
          </w:p>
        </w:tc>
      </w:tr>
      <w:tr>
        <w:trPr>
          <w:trHeight w:val="167"/>
        </w:trPr>
        <w:tc>
          <w:tcPr>
            <w:tcW w:w="65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 xml:space="preserve">бюджет ХМАО-Югры</w:t>
            </w:r>
          </w:p>
        </w:tc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604,6</w:t>
            </w:r>
          </w:p>
        </w:tc>
        <w:tc>
          <w:tcPr>
            <w:tcW w:w="1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604,6</w:t>
            </w:r>
          </w:p>
        </w:tc>
        <w:tc>
          <w:tcPr>
            <w:tcW w:w="1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604,6</w:t>
            </w:r>
          </w:p>
        </w:tc>
        <w:tc>
          <w:tcPr>
            <w:tcW w:w="1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604,6</w:t>
            </w:r>
          </w:p>
        </w:tc>
        <w:tc>
          <w:tcPr>
            <w:tcW w:w="1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604,6</w:t>
            </w:r>
          </w:p>
        </w:tc>
        <w:tc>
          <w:tcPr>
            <w:tcW w:w="1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604,6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3 627,6</w:t>
            </w:r>
          </w:p>
        </w:tc>
      </w:tr>
      <w:tr>
        <w:trPr>
          <w:trHeight w:val="330"/>
        </w:trPr>
        <w:tc>
          <w:tcPr>
            <w:tcW w:w="65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 xml:space="preserve">бюджет Белоярского района</w:t>
            </w:r>
          </w:p>
        </w:tc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25 620,3</w:t>
            </w:r>
          </w:p>
        </w:tc>
        <w:tc>
          <w:tcPr>
            <w:tcW w:w="1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21 003,2</w:t>
            </w:r>
          </w:p>
        </w:tc>
        <w:tc>
          <w:tcPr>
            <w:tcW w:w="1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21 129,0</w:t>
            </w:r>
          </w:p>
        </w:tc>
        <w:tc>
          <w:tcPr>
            <w:tcW w:w="1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21 129,0</w:t>
            </w:r>
          </w:p>
        </w:tc>
        <w:tc>
          <w:tcPr>
            <w:tcW w:w="1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21 129,0</w:t>
            </w:r>
          </w:p>
        </w:tc>
        <w:tc>
          <w:tcPr>
            <w:tcW w:w="1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21 129,0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131 139,5</w:t>
            </w:r>
          </w:p>
        </w:tc>
      </w:tr>
      <w:tr>
        <w:trPr>
          <w:trHeight w:val="70"/>
        </w:trPr>
        <w:tc>
          <w:tcPr>
            <w:tcW w:w="65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zh-CN" w:bidi="ar"/>
              </w:rPr>
              <w:t xml:space="preserve">Объем налоговых расходов Белоярского района (справочно)</w:t>
            </w:r>
          </w:p>
        </w:tc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0,0</w:t>
            </w:r>
          </w:p>
        </w:tc>
        <w:tc>
          <w:tcPr>
            <w:tcW w:w="1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0,0</w:t>
            </w:r>
          </w:p>
        </w:tc>
        <w:tc>
          <w:tcPr>
            <w:tcW w:w="1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0,0</w:t>
            </w:r>
          </w:p>
        </w:tc>
        <w:tc>
          <w:tcPr>
            <w:tcW w:w="1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0,0</w:t>
            </w:r>
          </w:p>
        </w:tc>
        <w:tc>
          <w:tcPr>
            <w:tcW w:w="1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0,0</w:t>
            </w:r>
          </w:p>
        </w:tc>
        <w:tc>
          <w:tcPr>
            <w:tcW w:w="1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0,0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0,0</w:t>
            </w:r>
          </w:p>
        </w:tc>
      </w:tr>
      <w:tr>
        <w:trPr>
          <w:trHeight w:val="283"/>
        </w:trPr>
        <w:tc>
          <w:tcPr>
            <w:tcW w:w="65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 xml:space="preserve">1.</w:t>
            </w:r>
          </w:p>
        </w:tc>
        <w:tc>
          <w:tcPr>
            <w:tcW w:w="7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zh-CN" w:bidi="ar"/>
              </w:rPr>
              <w:t xml:space="preserve">Комплекс процессных мероприятий «Обеспечение первичных мер пожарной безопасности в границах городского поселения Белоярский» (всего), в том числе:</w:t>
            </w:r>
          </w:p>
        </w:tc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10,0</w:t>
            </w:r>
          </w:p>
        </w:tc>
        <w:tc>
          <w:tcPr>
            <w:tcW w:w="1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10,0</w:t>
            </w:r>
          </w:p>
        </w:tc>
        <w:tc>
          <w:tcPr>
            <w:tcW w:w="1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10,0</w:t>
            </w:r>
          </w:p>
        </w:tc>
        <w:tc>
          <w:tcPr>
            <w:tcW w:w="1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10,0</w:t>
            </w:r>
          </w:p>
        </w:tc>
        <w:tc>
          <w:tcPr>
            <w:tcW w:w="1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10,0</w:t>
            </w:r>
          </w:p>
        </w:tc>
        <w:tc>
          <w:tcPr>
            <w:tcW w:w="1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10,0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60,0</w:t>
            </w:r>
          </w:p>
        </w:tc>
      </w:tr>
      <w:tr>
        <w:trPr>
          <w:trHeight w:val="322"/>
        </w:trPr>
        <w:tc>
          <w:tcPr>
            <w:tcW w:w="65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 xml:space="preserve">бюджет Белоярского района</w:t>
            </w:r>
          </w:p>
        </w:tc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10,0</w:t>
            </w:r>
          </w:p>
        </w:tc>
        <w:tc>
          <w:tcPr>
            <w:tcW w:w="1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10,0</w:t>
            </w:r>
          </w:p>
        </w:tc>
        <w:tc>
          <w:tcPr>
            <w:tcW w:w="1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10,0</w:t>
            </w:r>
          </w:p>
        </w:tc>
        <w:tc>
          <w:tcPr>
            <w:tcW w:w="1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10,0</w:t>
            </w:r>
          </w:p>
        </w:tc>
        <w:tc>
          <w:tcPr>
            <w:tcW w:w="1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10,0</w:t>
            </w:r>
          </w:p>
        </w:tc>
        <w:tc>
          <w:tcPr>
            <w:tcW w:w="1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10,0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60,0</w:t>
            </w:r>
          </w:p>
        </w:tc>
      </w:tr>
      <w:tr>
        <w:trPr>
          <w:trHeight w:val="292"/>
        </w:trPr>
        <w:tc>
          <w:tcPr>
            <w:tcW w:w="65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 xml:space="preserve">1.1.</w:t>
            </w:r>
          </w:p>
        </w:tc>
        <w:tc>
          <w:tcPr>
            <w:tcW w:w="7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zh-CN" w:bidi="ar"/>
              </w:rPr>
              <w:t xml:space="preserve">результат «Проведена противопожарная пропаганда и обучение населения городского поселения Белоярский мерам пожарной безопасности»</w:t>
            </w:r>
          </w:p>
        </w:tc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10,0</w:t>
            </w:r>
          </w:p>
        </w:tc>
        <w:tc>
          <w:tcPr>
            <w:tcW w:w="1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10,0</w:t>
            </w:r>
          </w:p>
        </w:tc>
        <w:tc>
          <w:tcPr>
            <w:tcW w:w="1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10,0</w:t>
            </w:r>
          </w:p>
        </w:tc>
        <w:tc>
          <w:tcPr>
            <w:tcW w:w="1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10,0</w:t>
            </w:r>
          </w:p>
        </w:tc>
        <w:tc>
          <w:tcPr>
            <w:tcW w:w="1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10,0</w:t>
            </w:r>
          </w:p>
        </w:tc>
        <w:tc>
          <w:tcPr>
            <w:tcW w:w="1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10,0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60,0</w:t>
            </w:r>
          </w:p>
        </w:tc>
      </w:tr>
      <w:tr>
        <w:trPr>
          <w:trHeight w:val="300"/>
        </w:trPr>
        <w:tc>
          <w:tcPr>
            <w:tcW w:w="65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 xml:space="preserve">бюджет Белоярского района</w:t>
            </w:r>
          </w:p>
        </w:tc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10,0</w:t>
            </w:r>
          </w:p>
        </w:tc>
        <w:tc>
          <w:tcPr>
            <w:tcW w:w="1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10,0</w:t>
            </w:r>
          </w:p>
        </w:tc>
        <w:tc>
          <w:tcPr>
            <w:tcW w:w="1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10,0</w:t>
            </w:r>
          </w:p>
        </w:tc>
        <w:tc>
          <w:tcPr>
            <w:tcW w:w="1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10,0</w:t>
            </w:r>
          </w:p>
        </w:tc>
        <w:tc>
          <w:tcPr>
            <w:tcW w:w="1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10,0</w:t>
            </w:r>
          </w:p>
        </w:tc>
        <w:tc>
          <w:tcPr>
            <w:tcW w:w="1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10,0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60,0</w:t>
            </w:r>
          </w:p>
        </w:tc>
      </w:tr>
      <w:tr>
        <w:trPr>
          <w:trHeight w:val="292"/>
        </w:trPr>
        <w:tc>
          <w:tcPr>
            <w:tcW w:w="65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 xml:space="preserve">2</w:t>
            </w:r>
          </w:p>
        </w:tc>
        <w:tc>
          <w:tcPr>
            <w:tcW w:w="7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zh-CN" w:bidi="ar"/>
              </w:rPr>
              <w:t xml:space="preserve">Комплекс процессных</w:t>
            </w:r>
            <w:r>
              <w:rPr>
                <w:color w:val="000000"/>
                <w:sz w:val="18"/>
                <w:szCs w:val="18"/>
                <w:lang w:eastAsia="zh-CN" w:bidi="ar"/>
              </w:rPr>
              <w:t xml:space="preserve"> мероприятий «Пополнение и обеспечение сохранности  созданных резервов (запасов) материальных ресурсов для предупреждения и ликвидации последствий чрезвычайных ситуаций природного и техногенного характера и в целях </w:t>
            </w:r>
            <w:r>
              <w:rPr>
                <w:color w:val="000000"/>
                <w:sz w:val="18"/>
                <w:szCs w:val="18"/>
                <w:lang w:eastAsia="zh-CN" w:bidi="ar"/>
              </w:rPr>
              <w:t xml:space="preserve">гражданской обороны» (всего) в том числе:</w:t>
            </w:r>
          </w:p>
        </w:tc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1 290,3</w:t>
            </w:r>
          </w:p>
        </w:tc>
        <w:tc>
          <w:tcPr>
            <w:tcW w:w="1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708,3</w:t>
            </w:r>
          </w:p>
        </w:tc>
        <w:tc>
          <w:tcPr>
            <w:tcW w:w="1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708,3</w:t>
            </w:r>
          </w:p>
        </w:tc>
        <w:tc>
          <w:tcPr>
            <w:tcW w:w="1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708,7</w:t>
            </w:r>
          </w:p>
        </w:tc>
        <w:tc>
          <w:tcPr>
            <w:tcW w:w="1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708,7</w:t>
            </w:r>
          </w:p>
        </w:tc>
        <w:tc>
          <w:tcPr>
            <w:tcW w:w="1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708,7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4 833,0</w:t>
            </w:r>
          </w:p>
        </w:tc>
      </w:tr>
      <w:tr>
        <w:trPr>
          <w:trHeight w:val="70"/>
        </w:trPr>
        <w:tc>
          <w:tcPr>
            <w:tcW w:w="65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 xml:space="preserve">бюджет Белоярского района</w:t>
            </w:r>
          </w:p>
        </w:tc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1 290,3</w:t>
            </w:r>
          </w:p>
        </w:tc>
        <w:tc>
          <w:tcPr>
            <w:tcW w:w="1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708,3</w:t>
            </w:r>
          </w:p>
        </w:tc>
        <w:tc>
          <w:tcPr>
            <w:tcW w:w="1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708,3</w:t>
            </w:r>
          </w:p>
        </w:tc>
        <w:tc>
          <w:tcPr>
            <w:tcW w:w="1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708,7</w:t>
            </w:r>
          </w:p>
        </w:tc>
        <w:tc>
          <w:tcPr>
            <w:tcW w:w="1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708,7</w:t>
            </w:r>
          </w:p>
        </w:tc>
        <w:tc>
          <w:tcPr>
            <w:tcW w:w="1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708,7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4 833,0</w:t>
            </w:r>
          </w:p>
        </w:tc>
      </w:tr>
      <w:tr>
        <w:trPr>
          <w:trHeight w:val="292"/>
        </w:trPr>
        <w:tc>
          <w:tcPr>
            <w:tcW w:w="65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 xml:space="preserve">2.1.</w:t>
            </w:r>
          </w:p>
        </w:tc>
        <w:tc>
          <w:tcPr>
            <w:tcW w:w="7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zh-CN" w:bidi="ar"/>
              </w:rPr>
              <w:t xml:space="preserve">результат «Обеспечение сохранности созданных резервов для ликвидации последствий чрезвычайных ситуаций природного и техногенного характера и в целях гражданской обороны»</w:t>
            </w:r>
          </w:p>
        </w:tc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708,3</w:t>
            </w:r>
          </w:p>
        </w:tc>
        <w:tc>
          <w:tcPr>
            <w:tcW w:w="1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708,3</w:t>
            </w:r>
          </w:p>
        </w:tc>
        <w:tc>
          <w:tcPr>
            <w:tcW w:w="1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708,3</w:t>
            </w:r>
          </w:p>
        </w:tc>
        <w:tc>
          <w:tcPr>
            <w:tcW w:w="1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708,7</w:t>
            </w:r>
          </w:p>
        </w:tc>
        <w:tc>
          <w:tcPr>
            <w:tcW w:w="1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708,7</w:t>
            </w:r>
          </w:p>
        </w:tc>
        <w:tc>
          <w:tcPr>
            <w:tcW w:w="1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708,7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4 251,0</w:t>
            </w:r>
          </w:p>
        </w:tc>
      </w:tr>
      <w:tr>
        <w:trPr>
          <w:trHeight w:val="300"/>
        </w:trPr>
        <w:tc>
          <w:tcPr>
            <w:tcW w:w="65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 xml:space="preserve">бюджет Белоярского района</w:t>
            </w:r>
          </w:p>
        </w:tc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708,3</w:t>
            </w:r>
          </w:p>
        </w:tc>
        <w:tc>
          <w:tcPr>
            <w:tcW w:w="1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708,3</w:t>
            </w:r>
          </w:p>
        </w:tc>
        <w:tc>
          <w:tcPr>
            <w:tcW w:w="1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708,3</w:t>
            </w:r>
          </w:p>
        </w:tc>
        <w:tc>
          <w:tcPr>
            <w:tcW w:w="1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708,7</w:t>
            </w:r>
          </w:p>
        </w:tc>
        <w:tc>
          <w:tcPr>
            <w:tcW w:w="1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708,7</w:t>
            </w:r>
          </w:p>
        </w:tc>
        <w:tc>
          <w:tcPr>
            <w:tcW w:w="1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708,7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4 251,0</w:t>
            </w:r>
          </w:p>
        </w:tc>
      </w:tr>
      <w:tr>
        <w:trPr>
          <w:trHeight w:val="292"/>
        </w:trPr>
        <w:tc>
          <w:tcPr>
            <w:tcW w:w="65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 xml:space="preserve">2.2.</w:t>
            </w:r>
          </w:p>
        </w:tc>
        <w:tc>
          <w:tcPr>
            <w:tcW w:w="7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zh-CN" w:bidi="ar"/>
              </w:rPr>
              <w:t xml:space="preserve">результат «Пополнение резервов (запасов) материальных ресурсов для ликвидации последствий чрезвычайных ситуаций природного и техногенного характера и в целях гражданской обороны»</w:t>
            </w:r>
          </w:p>
        </w:tc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582,0</w:t>
            </w:r>
          </w:p>
        </w:tc>
        <w:tc>
          <w:tcPr>
            <w:tcW w:w="1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0,0</w:t>
            </w:r>
          </w:p>
        </w:tc>
        <w:tc>
          <w:tcPr>
            <w:tcW w:w="1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0,0</w:t>
            </w:r>
          </w:p>
        </w:tc>
        <w:tc>
          <w:tcPr>
            <w:tcW w:w="1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0,0</w:t>
            </w:r>
          </w:p>
        </w:tc>
        <w:tc>
          <w:tcPr>
            <w:tcW w:w="1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0,0</w:t>
            </w:r>
          </w:p>
        </w:tc>
        <w:tc>
          <w:tcPr>
            <w:tcW w:w="1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0,0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582,0</w:t>
            </w:r>
          </w:p>
        </w:tc>
      </w:tr>
      <w:tr>
        <w:trPr>
          <w:trHeight w:val="300"/>
        </w:trPr>
        <w:tc>
          <w:tcPr>
            <w:tcW w:w="65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 xml:space="preserve">бюджет Белоярского района</w:t>
            </w:r>
          </w:p>
        </w:tc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582,0</w:t>
            </w:r>
          </w:p>
        </w:tc>
        <w:tc>
          <w:tcPr>
            <w:tcW w:w="1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0,0</w:t>
            </w:r>
          </w:p>
        </w:tc>
        <w:tc>
          <w:tcPr>
            <w:tcW w:w="1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0,0</w:t>
            </w:r>
          </w:p>
        </w:tc>
        <w:tc>
          <w:tcPr>
            <w:tcW w:w="1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0,0</w:t>
            </w:r>
          </w:p>
        </w:tc>
        <w:tc>
          <w:tcPr>
            <w:tcW w:w="1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0,0</w:t>
            </w:r>
          </w:p>
        </w:tc>
        <w:tc>
          <w:tcPr>
            <w:tcW w:w="1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0,0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582,0</w:t>
            </w:r>
          </w:p>
        </w:tc>
      </w:tr>
      <w:tr>
        <w:trPr>
          <w:trHeight w:val="292"/>
        </w:trPr>
        <w:tc>
          <w:tcPr>
            <w:tcW w:w="65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 xml:space="preserve">3</w:t>
            </w:r>
          </w:p>
        </w:tc>
        <w:tc>
          <w:tcPr>
            <w:tcW w:w="7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zh-CN" w:bidi="ar"/>
              </w:rPr>
              <w:t xml:space="preserve">Комплекс процессных мероприятий «Мероприятия по гражданской обороне и защите населения Белоярского района от чрезвычайных ситуаций природного и техногенного характера»</w:t>
            </w:r>
          </w:p>
        </w:tc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337,4</w:t>
            </w:r>
          </w:p>
        </w:tc>
        <w:tc>
          <w:tcPr>
            <w:tcW w:w="1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337,4</w:t>
            </w:r>
          </w:p>
        </w:tc>
        <w:tc>
          <w:tcPr>
            <w:tcW w:w="1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337,4</w:t>
            </w:r>
          </w:p>
        </w:tc>
        <w:tc>
          <w:tcPr>
            <w:tcW w:w="1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533,3</w:t>
            </w:r>
          </w:p>
        </w:tc>
        <w:tc>
          <w:tcPr>
            <w:tcW w:w="1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533,3</w:t>
            </w:r>
          </w:p>
        </w:tc>
        <w:tc>
          <w:tcPr>
            <w:tcW w:w="1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533,3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2 612,1</w:t>
            </w:r>
          </w:p>
        </w:tc>
      </w:tr>
      <w:tr>
        <w:trPr>
          <w:trHeight w:val="300"/>
        </w:trPr>
        <w:tc>
          <w:tcPr>
            <w:tcW w:w="65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 xml:space="preserve">бюджет Белоярского района</w:t>
            </w:r>
          </w:p>
        </w:tc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337,4</w:t>
            </w:r>
          </w:p>
        </w:tc>
        <w:tc>
          <w:tcPr>
            <w:tcW w:w="1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337,4</w:t>
            </w:r>
          </w:p>
        </w:tc>
        <w:tc>
          <w:tcPr>
            <w:tcW w:w="1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337,4</w:t>
            </w:r>
          </w:p>
        </w:tc>
        <w:tc>
          <w:tcPr>
            <w:tcW w:w="1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533,3</w:t>
            </w:r>
          </w:p>
        </w:tc>
        <w:tc>
          <w:tcPr>
            <w:tcW w:w="1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533,3</w:t>
            </w:r>
          </w:p>
        </w:tc>
        <w:tc>
          <w:tcPr>
            <w:tcW w:w="1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533,3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2 612,1</w:t>
            </w:r>
          </w:p>
        </w:tc>
      </w:tr>
      <w:tr>
        <w:trPr>
          <w:trHeight w:val="292"/>
        </w:trPr>
        <w:tc>
          <w:tcPr>
            <w:tcW w:w="65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 xml:space="preserve">4</w:t>
            </w:r>
          </w:p>
        </w:tc>
        <w:tc>
          <w:tcPr>
            <w:tcW w:w="7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zh-CN" w:bidi="ar"/>
              </w:rPr>
              <w:t xml:space="preserve">Комплекс процессных мероприятий «Организация осуществления мероприятий по проведению дезинсекции и дератизации»</w:t>
            </w:r>
          </w:p>
        </w:tc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604,6</w:t>
            </w:r>
          </w:p>
        </w:tc>
        <w:tc>
          <w:tcPr>
            <w:tcW w:w="1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604,6</w:t>
            </w:r>
          </w:p>
        </w:tc>
        <w:tc>
          <w:tcPr>
            <w:tcW w:w="1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604,6</w:t>
            </w:r>
          </w:p>
        </w:tc>
        <w:tc>
          <w:tcPr>
            <w:tcW w:w="1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604,6</w:t>
            </w:r>
          </w:p>
        </w:tc>
        <w:tc>
          <w:tcPr>
            <w:tcW w:w="1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604,6</w:t>
            </w:r>
          </w:p>
        </w:tc>
        <w:tc>
          <w:tcPr>
            <w:tcW w:w="1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604,6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3 627,6</w:t>
            </w:r>
          </w:p>
        </w:tc>
      </w:tr>
      <w:tr>
        <w:trPr>
          <w:trHeight w:val="300"/>
        </w:trPr>
        <w:tc>
          <w:tcPr>
            <w:tcW w:w="65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 xml:space="preserve">бюджет ХМАО-Югры</w:t>
            </w:r>
          </w:p>
        </w:tc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604,6</w:t>
            </w:r>
          </w:p>
        </w:tc>
        <w:tc>
          <w:tcPr>
            <w:tcW w:w="1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604,6</w:t>
            </w:r>
          </w:p>
        </w:tc>
        <w:tc>
          <w:tcPr>
            <w:tcW w:w="1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604,6</w:t>
            </w:r>
          </w:p>
        </w:tc>
        <w:tc>
          <w:tcPr>
            <w:tcW w:w="1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604,6</w:t>
            </w:r>
          </w:p>
        </w:tc>
        <w:tc>
          <w:tcPr>
            <w:tcW w:w="1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604,6</w:t>
            </w:r>
          </w:p>
        </w:tc>
        <w:tc>
          <w:tcPr>
            <w:tcW w:w="1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604,6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3 627,6</w:t>
            </w:r>
          </w:p>
        </w:tc>
      </w:tr>
      <w:tr>
        <w:trPr>
          <w:trHeight w:val="292"/>
        </w:trPr>
        <w:tc>
          <w:tcPr>
            <w:tcW w:w="65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 xml:space="preserve">5</w:t>
            </w:r>
          </w:p>
        </w:tc>
        <w:tc>
          <w:tcPr>
            <w:tcW w:w="7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zh-CN" w:bidi="ar"/>
              </w:rPr>
              <w:t xml:space="preserve">Комплекс процессных мероприятий «Обеспечение безопасности людей на водных объектах»</w:t>
            </w:r>
          </w:p>
        </w:tc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362,4</w:t>
            </w:r>
          </w:p>
        </w:tc>
        <w:tc>
          <w:tcPr>
            <w:tcW w:w="1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332,4</w:t>
            </w:r>
          </w:p>
        </w:tc>
        <w:tc>
          <w:tcPr>
            <w:tcW w:w="1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332,4</w:t>
            </w:r>
          </w:p>
        </w:tc>
        <w:tc>
          <w:tcPr>
            <w:tcW w:w="1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136,1</w:t>
            </w:r>
          </w:p>
        </w:tc>
        <w:tc>
          <w:tcPr>
            <w:tcW w:w="1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136,1</w:t>
            </w:r>
          </w:p>
        </w:tc>
        <w:tc>
          <w:tcPr>
            <w:tcW w:w="1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136,1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1 435,5</w:t>
            </w:r>
          </w:p>
        </w:tc>
      </w:tr>
      <w:tr>
        <w:trPr>
          <w:trHeight w:val="300"/>
        </w:trPr>
        <w:tc>
          <w:tcPr>
            <w:tcW w:w="65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 xml:space="preserve">бюджет Белоярского района</w:t>
            </w:r>
          </w:p>
        </w:tc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362,4</w:t>
            </w:r>
          </w:p>
        </w:tc>
        <w:tc>
          <w:tcPr>
            <w:tcW w:w="1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332,4</w:t>
            </w:r>
          </w:p>
        </w:tc>
        <w:tc>
          <w:tcPr>
            <w:tcW w:w="1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332,4</w:t>
            </w:r>
          </w:p>
        </w:tc>
        <w:tc>
          <w:tcPr>
            <w:tcW w:w="1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136,1</w:t>
            </w:r>
          </w:p>
        </w:tc>
        <w:tc>
          <w:tcPr>
            <w:tcW w:w="1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136,1</w:t>
            </w:r>
          </w:p>
        </w:tc>
        <w:tc>
          <w:tcPr>
            <w:tcW w:w="1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136,1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1 435,5</w:t>
            </w:r>
          </w:p>
        </w:tc>
      </w:tr>
      <w:tr>
        <w:trPr>
          <w:trHeight w:val="292"/>
        </w:trPr>
        <w:tc>
          <w:tcPr>
            <w:tcW w:w="65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 xml:space="preserve">6</w:t>
            </w:r>
          </w:p>
        </w:tc>
        <w:tc>
          <w:tcPr>
            <w:tcW w:w="7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zh-CN" w:bidi="ar"/>
              </w:rPr>
              <w:t xml:space="preserve">Комплекс процессных мероприятий «Создание условий для осуществления эффективной деятельности муниципального казенного учреждения «Единая дежурно-диспетчерская служба Белоярского района» (всего), в  том числе:</w:t>
            </w:r>
          </w:p>
        </w:tc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23 620,2</w:t>
            </w:r>
          </w:p>
        </w:tc>
        <w:tc>
          <w:tcPr>
            <w:tcW w:w="1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19 615,1</w:t>
            </w:r>
          </w:p>
        </w:tc>
        <w:tc>
          <w:tcPr>
            <w:tcW w:w="1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19 740,9</w:t>
            </w:r>
          </w:p>
        </w:tc>
        <w:tc>
          <w:tcPr>
            <w:tcW w:w="1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19 740,9</w:t>
            </w:r>
          </w:p>
        </w:tc>
        <w:tc>
          <w:tcPr>
            <w:tcW w:w="1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19 740,9</w:t>
            </w:r>
          </w:p>
        </w:tc>
        <w:tc>
          <w:tcPr>
            <w:tcW w:w="1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19 740,9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122 198,9</w:t>
            </w:r>
          </w:p>
        </w:tc>
      </w:tr>
      <w:tr>
        <w:trPr>
          <w:trHeight w:val="300"/>
        </w:trPr>
        <w:tc>
          <w:tcPr>
            <w:tcW w:w="65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 xml:space="preserve">бюджет Белоярского района</w:t>
            </w:r>
          </w:p>
        </w:tc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23 620,2</w:t>
            </w:r>
          </w:p>
        </w:tc>
        <w:tc>
          <w:tcPr>
            <w:tcW w:w="1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19 615,1</w:t>
            </w:r>
          </w:p>
        </w:tc>
        <w:tc>
          <w:tcPr>
            <w:tcW w:w="1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19 740,9</w:t>
            </w:r>
          </w:p>
        </w:tc>
        <w:tc>
          <w:tcPr>
            <w:tcW w:w="1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19 740,9</w:t>
            </w:r>
          </w:p>
        </w:tc>
        <w:tc>
          <w:tcPr>
            <w:tcW w:w="1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19 740,9</w:t>
            </w:r>
          </w:p>
        </w:tc>
        <w:tc>
          <w:tcPr>
            <w:tcW w:w="1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19 740,9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122 198,9</w:t>
            </w:r>
          </w:p>
        </w:tc>
      </w:tr>
      <w:tr>
        <w:trPr>
          <w:trHeight w:val="292"/>
        </w:trPr>
        <w:tc>
          <w:tcPr>
            <w:tcW w:w="65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 xml:space="preserve">6.1.</w:t>
            </w:r>
          </w:p>
        </w:tc>
        <w:tc>
          <w:tcPr>
            <w:tcW w:w="7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zh-CN" w:bidi="ar"/>
              </w:rPr>
              <w:t xml:space="preserve">результат «Обеспечение деятельности МКУ «Единая дежурно-диспетчерская служба Белоярского района»</w:t>
            </w:r>
          </w:p>
        </w:tc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23 620,2</w:t>
            </w:r>
          </w:p>
        </w:tc>
        <w:tc>
          <w:tcPr>
            <w:tcW w:w="1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19 615,1</w:t>
            </w:r>
          </w:p>
        </w:tc>
        <w:tc>
          <w:tcPr>
            <w:tcW w:w="1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19 740,9</w:t>
            </w:r>
          </w:p>
        </w:tc>
        <w:tc>
          <w:tcPr>
            <w:tcW w:w="1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19 740,9</w:t>
            </w:r>
          </w:p>
        </w:tc>
        <w:tc>
          <w:tcPr>
            <w:tcW w:w="1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19 740,9</w:t>
            </w:r>
          </w:p>
        </w:tc>
        <w:tc>
          <w:tcPr>
            <w:tcW w:w="1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19 740,9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122 198,9</w:t>
            </w:r>
          </w:p>
        </w:tc>
      </w:tr>
      <w:tr>
        <w:trPr>
          <w:trHeight w:val="300"/>
        </w:trPr>
        <w:tc>
          <w:tcPr>
            <w:tcW w:w="65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val="en-US" w:eastAsia="zh-CN" w:bidi="ar"/>
              </w:rPr>
              <w:t xml:space="preserve">бюджет Белоярского района</w:t>
            </w:r>
          </w:p>
        </w:tc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23 620,2</w:t>
            </w:r>
          </w:p>
        </w:tc>
        <w:tc>
          <w:tcPr>
            <w:tcW w:w="1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19 615,1</w:t>
            </w:r>
          </w:p>
        </w:tc>
        <w:tc>
          <w:tcPr>
            <w:tcW w:w="1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19 740,9</w:t>
            </w:r>
          </w:p>
        </w:tc>
        <w:tc>
          <w:tcPr>
            <w:tcW w:w="1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19 740,9</w:t>
            </w:r>
          </w:p>
        </w:tc>
        <w:tc>
          <w:tcPr>
            <w:tcW w:w="1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19 740,9</w:t>
            </w:r>
          </w:p>
        </w:tc>
        <w:tc>
          <w:tcPr>
            <w:tcW w:w="1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19 740,9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eastAsia="Times New Roman"/>
                <w:color w:val="000000"/>
                <w:sz w:val="18"/>
              </w:rPr>
              <w:t xml:space="preserve">122 198,9</w:t>
            </w:r>
          </w:p>
        </w:tc>
      </w:tr>
    </w:tbl>
    <w:p>
      <w:pPr>
        <w:widowControl w:val="off"/>
        <w:spacing w:after="0" w:line="240" w:lineRule="auto"/>
        <w:jc w:val="right"/>
        <w:rPr>
          <w:rFonts w:eastAsia="Times New Roman"/>
          <w:sz w:val="20"/>
          <w:szCs w:val="20"/>
          <w:lang w:eastAsia="ru-RU"/>
        </w:rPr>
      </w:pPr>
      <w:r>
        <w:rPr>
          <w:rFonts w:eastAsia="Times New Roman"/>
          <w:sz w:val="20"/>
          <w:szCs w:val="20"/>
          <w:lang w:eastAsia="ru-RU"/>
        </w:rPr>
        <w:t xml:space="preserve">».</w:t>
      </w:r>
    </w:p>
    <w:p>
      <w:pPr>
        <w:widowControl w:val="off"/>
        <w:spacing w:after="0" w:line="240" w:lineRule="auto"/>
        <w:jc w:val="right"/>
        <w:rPr>
          <w:rFonts w:eastAsia="Times New Roman"/>
          <w:sz w:val="20"/>
          <w:szCs w:val="20"/>
          <w:lang w:eastAsia="ru-RU"/>
        </w:rPr>
      </w:pPr>
    </w:p>
    <w:p>
      <w:pPr>
        <w:widowControl w:val="off"/>
        <w:spacing w:after="0" w:line="240" w:lineRule="auto"/>
        <w:jc w:val="right"/>
        <w:rPr>
          <w:rFonts w:eastAsia="Times New Roman"/>
          <w:sz w:val="20"/>
          <w:szCs w:val="20"/>
          <w:lang w:eastAsia="ru-RU"/>
        </w:rPr>
      </w:pPr>
    </w:p>
    <w:p>
      <w:pPr>
        <w:widowControl w:val="off"/>
        <w:spacing w:after="0" w:line="240" w:lineRule="auto"/>
        <w:jc w:val="right"/>
        <w:rPr>
          <w:rFonts w:eastAsia="Times New Roman"/>
          <w:sz w:val="20"/>
          <w:szCs w:val="20"/>
          <w:lang w:eastAsia="ru-RU"/>
        </w:rPr>
      </w:pPr>
    </w:p>
    <w:p>
      <w:pPr>
        <w:widowControl w:val="off"/>
        <w:spacing w:after="0" w:line="240" w:lineRule="auto"/>
        <w:jc w:val="center"/>
        <w:rPr>
          <w:rFonts w:eastAsia="Times New Roman"/>
          <w:sz w:val="20"/>
          <w:szCs w:val="20"/>
          <w:lang w:eastAsia="ru-RU"/>
        </w:rPr>
      </w:pPr>
      <w:r>
        <w:rPr>
          <w:rFonts w:eastAsia="Times New Roman"/>
          <w:sz w:val="20"/>
          <w:szCs w:val="20"/>
          <w:lang w:eastAsia="ru-RU"/>
        </w:rPr>
        <w:t xml:space="preserve">______________________</w:t>
      </w:r>
    </w:p>
    <w:sectPr>
      <w:pgSz w:w="16838" w:h="11906" w:orient="landscape"/>
      <w:pgMar w:top="1276" w:right="720" w:bottom="720" w:left="720" w:header="708" w:footer="708" w:gutter="0"/>
      <w:cols w:space="720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line="240" w:lineRule="auto"/>
      </w:pPr>
      <w:r>
        <w:separator/>
      </w:r>
    </w:p>
  </w:endnote>
  <w:endnote w:type="continuationSeparator" w:id="0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Tahoma">
    <w:panose1 w:val="020B0604030504040204"/>
  </w:font>
  <w:font w:name="Arial">
    <w:panose1 w:val="020B0604020202020204"/>
  </w:font>
  <w:font w:name="Cambria">
    <w:panose1 w:val="02040503050406030204"/>
  </w:font>
  <w:font w:name="SimSun">
    <w:panose1 w:val="02010600030101010101"/>
  </w:font>
  <w:font w:name="Times New Roman">
    <w:panose1 w:val="020206030504050203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/>
      </w:pPr>
      <w:r>
        <w:separator/>
      </w:r>
    </w:p>
  </w:footnote>
  <w:footnote w:type="continuationSeparator" w:id="0">
    <w:p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afc"/>
      <w:jc w:val="center"/>
    </w:pPr>
    <w:r>
      <w:t xml:space="preserve">2</w:t>
    </w:r>
  </w:p>
  <w:p>
    <w:pPr>
      <w:pStyle w:val="af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 w:tplc="AAF61E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16C0302">
      <w:start w:val="1"/>
      <w:numFmt w:val="lowerLetter"/>
      <w:lvlText w:val="%2."/>
      <w:lvlJc w:val="left"/>
      <w:pPr>
        <w:ind w:left="1789" w:hanging="360"/>
      </w:pPr>
    </w:lvl>
    <w:lvl w:ilvl="2" w:tplc="D59EC91A">
      <w:start w:val="1"/>
      <w:numFmt w:val="lowerRoman"/>
      <w:lvlText w:val="%3."/>
      <w:lvlJc w:val="right"/>
      <w:pPr>
        <w:ind w:left="2509" w:hanging="180"/>
      </w:pPr>
    </w:lvl>
    <w:lvl w:ilvl="3" w:tplc="94340B36">
      <w:start w:val="1"/>
      <w:numFmt w:val="decimal"/>
      <w:lvlText w:val="%4."/>
      <w:lvlJc w:val="left"/>
      <w:pPr>
        <w:ind w:left="3229" w:hanging="360"/>
      </w:pPr>
    </w:lvl>
    <w:lvl w:ilvl="4" w:tplc="91A60B9E">
      <w:start w:val="1"/>
      <w:numFmt w:val="lowerLetter"/>
      <w:lvlText w:val="%5."/>
      <w:lvlJc w:val="left"/>
      <w:pPr>
        <w:ind w:left="3949" w:hanging="360"/>
      </w:pPr>
    </w:lvl>
    <w:lvl w:ilvl="5" w:tplc="1E785250">
      <w:start w:val="1"/>
      <w:numFmt w:val="lowerRoman"/>
      <w:lvlText w:val="%6."/>
      <w:lvlJc w:val="right"/>
      <w:pPr>
        <w:ind w:left="4669" w:hanging="180"/>
      </w:pPr>
    </w:lvl>
    <w:lvl w:ilvl="6" w:tplc="27AC7EF0">
      <w:start w:val="1"/>
      <w:numFmt w:val="decimal"/>
      <w:lvlText w:val="%7."/>
      <w:lvlJc w:val="left"/>
      <w:pPr>
        <w:ind w:left="5389" w:hanging="360"/>
      </w:pPr>
    </w:lvl>
    <w:lvl w:ilvl="7" w:tplc="53BEF9C0">
      <w:start w:val="1"/>
      <w:numFmt w:val="lowerLetter"/>
      <w:lvlText w:val="%8."/>
      <w:lvlJc w:val="left"/>
      <w:pPr>
        <w:ind w:left="6109" w:hanging="360"/>
      </w:pPr>
    </w:lvl>
    <w:lvl w:ilvl="8" w:tplc="CADA9D66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multiLevelType w:val="hybridMultilevel"/>
    <w:lvl w:ilvl="0" w:tplc="7F123324">
      <w:start w:val="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3FA02BA2">
      <w:start w:val="1"/>
      <w:numFmt w:val="lowerLetter"/>
      <w:lvlText w:val="%2."/>
      <w:lvlJc w:val="left"/>
      <w:pPr>
        <w:ind w:left="1440" w:hanging="360"/>
      </w:pPr>
    </w:lvl>
    <w:lvl w:ilvl="2" w:tplc="3B989D8A">
      <w:start w:val="1"/>
      <w:numFmt w:val="lowerRoman"/>
      <w:lvlText w:val="%3."/>
      <w:lvlJc w:val="right"/>
      <w:pPr>
        <w:ind w:left="2160" w:hanging="180"/>
      </w:pPr>
    </w:lvl>
    <w:lvl w:ilvl="3" w:tplc="67F211A8">
      <w:start w:val="1"/>
      <w:numFmt w:val="decimal"/>
      <w:lvlText w:val="%4."/>
      <w:lvlJc w:val="left"/>
      <w:pPr>
        <w:ind w:left="2880" w:hanging="360"/>
      </w:pPr>
    </w:lvl>
    <w:lvl w:ilvl="4" w:tplc="B86A6CD8">
      <w:start w:val="1"/>
      <w:numFmt w:val="lowerLetter"/>
      <w:lvlText w:val="%5."/>
      <w:lvlJc w:val="left"/>
      <w:pPr>
        <w:ind w:left="3600" w:hanging="360"/>
      </w:pPr>
    </w:lvl>
    <w:lvl w:ilvl="5" w:tplc="F3F45D7A">
      <w:start w:val="1"/>
      <w:numFmt w:val="lowerRoman"/>
      <w:lvlText w:val="%6."/>
      <w:lvlJc w:val="right"/>
      <w:pPr>
        <w:ind w:left="4320" w:hanging="180"/>
      </w:pPr>
    </w:lvl>
    <w:lvl w:ilvl="6" w:tplc="66FA12C4">
      <w:start w:val="1"/>
      <w:numFmt w:val="decimal"/>
      <w:lvlText w:val="%7."/>
      <w:lvlJc w:val="left"/>
      <w:pPr>
        <w:ind w:left="5040" w:hanging="360"/>
      </w:pPr>
    </w:lvl>
    <w:lvl w:ilvl="7" w:tplc="4CB29B90">
      <w:start w:val="1"/>
      <w:numFmt w:val="lowerLetter"/>
      <w:lvlText w:val="%8."/>
      <w:lvlJc w:val="left"/>
      <w:pPr>
        <w:ind w:left="5760" w:hanging="360"/>
      </w:pPr>
    </w:lvl>
    <w:lvl w:ilvl="8" w:tplc="60EEEF60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multiLevelType w:val="hybridMultilevel"/>
    <w:lvl w:ilvl="0" w:tplc="4D648886">
      <w:start w:val="1"/>
      <w:numFmt w:val="decimal"/>
      <w:lvlText w:val="%1)"/>
      <w:lvlJc w:val="left"/>
      <w:pPr>
        <w:ind w:left="1429" w:hanging="360"/>
      </w:pPr>
    </w:lvl>
    <w:lvl w:ilvl="1" w:tplc="03948AFA">
      <w:start w:val="1"/>
      <w:numFmt w:val="lowerLetter"/>
      <w:lvlText w:val="%2."/>
      <w:lvlJc w:val="left"/>
      <w:pPr>
        <w:ind w:left="2149" w:hanging="360"/>
      </w:pPr>
    </w:lvl>
    <w:lvl w:ilvl="2" w:tplc="42844F22">
      <w:start w:val="1"/>
      <w:numFmt w:val="lowerRoman"/>
      <w:lvlText w:val="%3."/>
      <w:lvlJc w:val="right"/>
      <w:pPr>
        <w:ind w:left="2869" w:hanging="180"/>
      </w:pPr>
    </w:lvl>
    <w:lvl w:ilvl="3" w:tplc="5AFC0440">
      <w:start w:val="1"/>
      <w:numFmt w:val="decimal"/>
      <w:lvlText w:val="%4."/>
      <w:lvlJc w:val="left"/>
      <w:pPr>
        <w:ind w:left="3589" w:hanging="360"/>
      </w:pPr>
    </w:lvl>
    <w:lvl w:ilvl="4" w:tplc="81AAD224">
      <w:start w:val="1"/>
      <w:numFmt w:val="lowerLetter"/>
      <w:lvlText w:val="%5."/>
      <w:lvlJc w:val="left"/>
      <w:pPr>
        <w:ind w:left="4309" w:hanging="360"/>
      </w:pPr>
    </w:lvl>
    <w:lvl w:ilvl="5" w:tplc="5B008C1E">
      <w:start w:val="1"/>
      <w:numFmt w:val="lowerRoman"/>
      <w:lvlText w:val="%6."/>
      <w:lvlJc w:val="right"/>
      <w:pPr>
        <w:ind w:left="5029" w:hanging="180"/>
      </w:pPr>
    </w:lvl>
    <w:lvl w:ilvl="6" w:tplc="065EA474">
      <w:start w:val="1"/>
      <w:numFmt w:val="decimal"/>
      <w:lvlText w:val="%7."/>
      <w:lvlJc w:val="left"/>
      <w:pPr>
        <w:ind w:left="5749" w:hanging="360"/>
      </w:pPr>
    </w:lvl>
    <w:lvl w:ilvl="7" w:tplc="7BB40E56">
      <w:start w:val="1"/>
      <w:numFmt w:val="lowerLetter"/>
      <w:lvlText w:val="%8."/>
      <w:lvlJc w:val="left"/>
      <w:pPr>
        <w:ind w:left="6469" w:hanging="360"/>
      </w:pPr>
    </w:lvl>
    <w:lvl w:ilvl="8" w:tplc="44AC07DE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 w:val="true"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hAnsi="Times New Roman" w:eastAsia="SimSu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a" w:default="1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40" w:after="0"/>
      <w:outlineLvl w:val="0"/>
    </w:pPr>
    <w:rPr>
      <w:rFonts w:ascii="Cambria" w:hAnsi="Cambria" w:eastAsia="Times New Roman"/>
      <w:color w:val="365f91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pPr>
      <w:keepNext/>
      <w:keepLines/>
      <w:spacing w:before="40" w:after="0"/>
      <w:outlineLvl w:val="1"/>
    </w:pPr>
    <w:rPr>
      <w:rFonts w:ascii="Cambria" w:hAnsi="Cambria" w:eastAsia="Times New Roman"/>
      <w:color w:val="365f91"/>
      <w:sz w:val="26"/>
      <w:szCs w:val="26"/>
    </w:rPr>
  </w:style>
  <w:style w:type="paragraph" w:styleId="3">
    <w:name w:val="heading 3"/>
    <w:basedOn w:val="a"/>
    <w:next w:val="a"/>
    <w:link w:val="30"/>
    <w:uiPriority w:val="9"/>
    <w:qFormat/>
    <w:pPr>
      <w:keepNext/>
      <w:keepLines/>
      <w:spacing w:before="40" w:after="0"/>
      <w:outlineLvl w:val="2"/>
    </w:pPr>
    <w:rPr>
      <w:rFonts w:ascii="Cambria" w:hAnsi="Cambria" w:eastAsia="Times New Roman"/>
      <w:color w:val="243f60"/>
      <w:sz w:val="24"/>
      <w:szCs w:val="24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hAnsi="Arial" w:eastAsia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hAnsi="Arial" w:eastAsia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hAnsi="Arial" w:eastAsia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a0" w:default="1">
    <w:name w:val="Default Paragraph Font"/>
    <w:uiPriority w:val="1"/>
    <w:semiHidden/>
    <w:unhideWhenUsed/>
  </w:style>
  <w:style w:type="table" w:styleId="a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a2" w:default="1">
    <w:name w:val="No List"/>
    <w:uiPriority w:val="99"/>
    <w:semiHidden/>
    <w:unhideWhenUsed/>
  </w:style>
  <w:style w:type="character" w:styleId="Heading1Char" w:customStyle="1">
    <w:name w:val="Heading 1 Char"/>
    <w:basedOn w:val="a0"/>
    <w:uiPriority w:val="9"/>
    <w:rPr>
      <w:rFonts w:ascii="Arial" w:hAnsi="Arial" w:eastAsia="Arial" w:cs="Arial"/>
      <w:sz w:val="40"/>
      <w:szCs w:val="40"/>
    </w:rPr>
  </w:style>
  <w:style w:type="character" w:styleId="Heading2Char" w:customStyle="1">
    <w:name w:val="Heading 2 Char"/>
    <w:basedOn w:val="a0"/>
    <w:uiPriority w:val="9"/>
    <w:rPr>
      <w:rFonts w:ascii="Arial" w:hAnsi="Arial" w:eastAsia="Arial" w:cs="Arial"/>
      <w:sz w:val="34"/>
    </w:rPr>
  </w:style>
  <w:style w:type="character" w:styleId="Heading3Char" w:customStyle="1">
    <w:name w:val="Heading 3 Char"/>
    <w:basedOn w:val="a0"/>
    <w:uiPriority w:val="9"/>
    <w:rPr>
      <w:rFonts w:ascii="Arial" w:hAnsi="Arial" w:eastAsia="Arial" w:cs="Arial"/>
      <w:sz w:val="30"/>
      <w:szCs w:val="30"/>
    </w:rPr>
  </w:style>
  <w:style w:type="character" w:styleId="40" w:customStyle="1">
    <w:name w:val="Заголовок 4 Знак"/>
    <w:basedOn w:val="a0"/>
    <w:link w:val="4"/>
    <w:uiPriority w:val="9"/>
    <w:rPr>
      <w:rFonts w:ascii="Arial" w:hAnsi="Arial" w:eastAsia="Arial" w:cs="Arial"/>
      <w:b/>
      <w:bCs/>
      <w:sz w:val="26"/>
      <w:szCs w:val="26"/>
    </w:rPr>
  </w:style>
  <w:style w:type="character" w:styleId="50" w:customStyle="1">
    <w:name w:val="Заголовок 5 Знак"/>
    <w:basedOn w:val="a0"/>
    <w:link w:val="5"/>
    <w:uiPriority w:val="9"/>
    <w:rPr>
      <w:rFonts w:ascii="Arial" w:hAnsi="Arial" w:eastAsia="Arial" w:cs="Arial"/>
      <w:b/>
      <w:bCs/>
      <w:sz w:val="24"/>
      <w:szCs w:val="24"/>
    </w:rPr>
  </w:style>
  <w:style w:type="character" w:styleId="60" w:customStyle="1">
    <w:name w:val="Заголовок 6 Знак"/>
    <w:basedOn w:val="a0"/>
    <w:link w:val="6"/>
    <w:uiPriority w:val="9"/>
    <w:rPr>
      <w:rFonts w:ascii="Arial" w:hAnsi="Arial" w:eastAsia="Arial" w:cs="Arial"/>
      <w:b/>
      <w:bCs/>
      <w:sz w:val="22"/>
      <w:szCs w:val="22"/>
    </w:rPr>
  </w:style>
  <w:style w:type="character" w:styleId="70" w:customStyle="1">
    <w:name w:val="Заголовок 7 Знак"/>
    <w:basedOn w:val="a0"/>
    <w:link w:val="7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80" w:customStyle="1">
    <w:name w:val="Заголовок 8 Знак"/>
    <w:basedOn w:val="a0"/>
    <w:link w:val="8"/>
    <w:uiPriority w:val="9"/>
    <w:rPr>
      <w:rFonts w:ascii="Arial" w:hAnsi="Arial" w:eastAsia="Arial" w:cs="Arial"/>
      <w:i/>
      <w:iCs/>
      <w:sz w:val="22"/>
      <w:szCs w:val="22"/>
    </w:rPr>
  </w:style>
  <w:style w:type="character" w:styleId="90" w:customStyle="1">
    <w:name w:val="Заголовок 9 Знак"/>
    <w:basedOn w:val="a0"/>
    <w:link w:val="9"/>
    <w:uiPriority w:val="9"/>
    <w:rPr>
      <w:rFonts w:ascii="Arial" w:hAnsi="Arial" w:eastAsia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/>
      <w:contextualSpacing/>
    </w:pPr>
    <w:rPr>
      <w:sz w:val="48"/>
      <w:szCs w:val="48"/>
    </w:rPr>
  </w:style>
  <w:style w:type="character" w:styleId="a4" w:customStyle="1">
    <w:name w:val="Заголовок Знак"/>
    <w:basedOn w:val="a0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/>
    </w:pPr>
    <w:rPr>
      <w:sz w:val="24"/>
      <w:szCs w:val="24"/>
    </w:rPr>
  </w:style>
  <w:style w:type="character" w:styleId="a6" w:customStyle="1">
    <w:name w:val="Подзаголовок Знак"/>
    <w:basedOn w:val="a0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styleId="22" w:customStyle="1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ind w:left="720" w:right="720"/>
    </w:pPr>
    <w:rPr>
      <w:i/>
    </w:rPr>
  </w:style>
  <w:style w:type="character" w:styleId="a8" w:customStyle="1">
    <w:name w:val="Выделенная цитата Знак"/>
    <w:link w:val="a7"/>
    <w:uiPriority w:val="30"/>
    <w:rPr>
      <w:i/>
    </w:rPr>
  </w:style>
  <w:style w:type="character" w:styleId="HeaderChar" w:customStyle="1">
    <w:name w:val="Header Char"/>
    <w:basedOn w:val="a0"/>
    <w:uiPriority w:val="99"/>
  </w:style>
  <w:style w:type="character" w:styleId="FooterChar" w:customStyle="1">
    <w:name w:val="Footer Char"/>
    <w:basedOn w:val="a0"/>
    <w:uiPriority w:val="99"/>
  </w:style>
  <w:style w:type="paragraph" w:styleId="a9">
    <w:name w:val="caption"/>
    <w:basedOn w:val="a"/>
    <w:next w:val="a"/>
    <w:link w:val="a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styleId="aa" w:customStyle="1">
    <w:name w:val="Название объекта Знак"/>
    <w:basedOn w:val="a0"/>
    <w:link w:val="a9"/>
    <w:uiPriority w:val="35"/>
    <w:rPr>
      <w:b/>
      <w:bCs/>
      <w:color w:val="4f81bd" w:themeColor="accent1"/>
      <w:sz w:val="18"/>
      <w:szCs w:val="18"/>
    </w:rPr>
  </w:style>
  <w:style w:type="table" w:styleId="ab">
    <w:name w:val="Table Grid"/>
    <w:basedOn w:val="a1"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TableGridLight" w:customStyle="1">
    <w:name w:val="Table Grid Light"/>
    <w:basedOn w:val="a1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11">
    <w:name w:val="Plain Table 1"/>
    <w:basedOn w:val="a1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1Horz"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cPr>
        <w:tcBorders>
          <w:left w:val="none" w:color="000000" w:sz="4" w:space="0"/>
          <w:bottom w:val="single" w:color="40404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i/>
        <w:color w:val="404040"/>
      </w:rPr>
      <w:tcPr>
        <w:tcBorders>
          <w:top w:val="single" w:color="404040" w:sz="4" w:space="0"/>
          <w:left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i/>
        <w:color w:val="404040"/>
      </w:rPr>
      <w:pPr>
        <w:jc w:val="right"/>
      </w:pPr>
      <w:tcPr>
        <w:tcBorders>
          <w:right w:val="single" w:color="40404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left w:val="single" w:color="404040" w:sz="4" w:space="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</w:style>
  <w:style w:type="table" w:styleId="GridTable1Light-Accent1" w:customStyle="1">
    <w:name w:val="Grid Table 1 Light - Accent 1"/>
    <w:basedOn w:val="a1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</w:style>
  <w:style w:type="table" w:styleId="GridTable1Light-Accent2" w:customStyle="1">
    <w:name w:val="Grid Table 1 Light - Accent 2"/>
    <w:basedOn w:val="a1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</w:style>
  <w:style w:type="table" w:styleId="GridTable1Light-Accent3" w:customStyle="1">
    <w:name w:val="Grid Table 1 Light - Accent 3"/>
    <w:basedOn w:val="a1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</w:style>
  <w:style w:type="table" w:styleId="GridTable1Light-Accent4" w:customStyle="1">
    <w:name w:val="Grid Table 1 Light - Accent 4"/>
    <w:basedOn w:val="a1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</w:style>
  <w:style w:type="table" w:styleId="GridTable1Light-Accent5" w:customStyle="1">
    <w:name w:val="Grid Table 1 Light - Accent 5"/>
    <w:basedOn w:val="a1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</w:style>
  <w:style w:type="table" w:styleId="GridTable1Light-Accent6" w:customStyle="1">
    <w:name w:val="Grid Table 1 Light - Accent 6"/>
    <w:basedOn w:val="a1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</w:style>
  <w:style w:type="table" w:styleId="GridTable2-Accent1" w:customStyle="1">
    <w:name w:val="Grid Table 2 - Accent 1"/>
    <w:basedOn w:val="a1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</w:style>
  <w:style w:type="table" w:styleId="GridTable2-Accent2" w:customStyle="1">
    <w:name w:val="Grid Table 2 - Accent 2"/>
    <w:basedOn w:val="a1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</w:style>
  <w:style w:type="table" w:styleId="GridTable2-Accent3" w:customStyle="1">
    <w:name w:val="Grid Table 2 - Accent 3"/>
    <w:basedOn w:val="a1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</w:style>
  <w:style w:type="table" w:styleId="GridTable2-Accent4" w:customStyle="1">
    <w:name w:val="Grid Table 2 - Accent 4"/>
    <w:basedOn w:val="a1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</w:style>
  <w:style w:type="table" w:styleId="GridTable2-Accent5" w:customStyle="1">
    <w:name w:val="Grid Table 2 - Accent 5"/>
    <w:basedOn w:val="a1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</w:style>
  <w:style w:type="table" w:styleId="GridTable2-Accent6" w:customStyle="1">
    <w:name w:val="Grid Table 2 - Accent 6"/>
    <w:basedOn w:val="a1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</w:style>
  <w:style w:type="table" w:styleId="GridTable3-Accent1" w:customStyle="1">
    <w:name w:val="Grid Table 3 - Accent 1"/>
    <w:basedOn w:val="a1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</w:style>
  <w:style w:type="table" w:styleId="GridTable3-Accent2" w:customStyle="1">
    <w:name w:val="Grid Table 3 - Accent 2"/>
    <w:basedOn w:val="a1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</w:style>
  <w:style w:type="table" w:styleId="GridTable3-Accent3" w:customStyle="1">
    <w:name w:val="Grid Table 3 - Accent 3"/>
    <w:basedOn w:val="a1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</w:style>
  <w:style w:type="table" w:styleId="GridTable3-Accent4" w:customStyle="1">
    <w:name w:val="Grid Table 3 - Accent 4"/>
    <w:basedOn w:val="a1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</w:style>
  <w:style w:type="table" w:styleId="GridTable3-Accent5" w:customStyle="1">
    <w:name w:val="Grid Table 3 - Accent 5"/>
    <w:basedOn w:val="a1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</w:style>
  <w:style w:type="table" w:styleId="GridTable3-Accent6" w:customStyle="1">
    <w:name w:val="Grid Table 3 - Accent 6"/>
    <w:basedOn w:val="a1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</w:style>
  <w:style w:type="table" w:styleId="GridTable4-Accent1" w:customStyle="1">
    <w:name w:val="Grid Table 4 - Accent 1"/>
    <w:basedOn w:val="a1"/>
    <w:uiPriority w:val="5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</w:style>
  <w:style w:type="table" w:styleId="GridTable4-Accent2" w:customStyle="1">
    <w:name w:val="Grid Table 4 - Accent 2"/>
    <w:basedOn w:val="a1"/>
    <w:uiPriority w:val="5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</w:style>
  <w:style w:type="table" w:styleId="GridTable4-Accent3" w:customStyle="1">
    <w:name w:val="Grid Table 4 - Accent 3"/>
    <w:basedOn w:val="a1"/>
    <w:uiPriority w:val="5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</w:style>
  <w:style w:type="table" w:styleId="GridTable4-Accent4" w:customStyle="1">
    <w:name w:val="Grid Table 4 - Accent 4"/>
    <w:basedOn w:val="a1"/>
    <w:uiPriority w:val="5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</w:style>
  <w:style w:type="table" w:styleId="GridTable4-Accent5" w:customStyle="1">
    <w:name w:val="Grid Table 4 - Accent 5"/>
    <w:basedOn w:val="a1"/>
    <w:uiPriority w:val="5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</w:style>
  <w:style w:type="table" w:styleId="GridTable4-Accent6" w:customStyle="1">
    <w:name w:val="Grid Table 4 - Accent 6"/>
    <w:basedOn w:val="a1"/>
    <w:uiPriority w:val="5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band1Horz">
      <w:tcPr>
        <w:shd w:val="clear" w:color="8a8a8a" w:themeColor="text1" w:themeTint="75" w:fill="8a8a8a" w:themeFill="text1" w:themeFillTint="75"/>
      </w:tcPr>
    </w:tblStylePr>
  </w:style>
  <w:style w:type="table" w:styleId="GridTable5Dark-Accent1" w:customStyle="1">
    <w:name w:val="Grid Table 5 Dark- Accent 1"/>
    <w:basedOn w:val="a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band1Horz">
      <w:tcPr>
        <w:shd w:val="clear" w:color="aec4e0" w:themeColor="accent1" w:themeTint="75" w:fill="aec4e0" w:themeFill="accent1" w:themeFillTint="75"/>
      </w:tcPr>
    </w:tblStylePr>
  </w:style>
  <w:style w:type="table" w:styleId="GridTable5Dark-Accent2" w:customStyle="1">
    <w:name w:val="Grid Table 5 Dark - Accent 2"/>
    <w:basedOn w:val="a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band1Horz">
      <w:tcPr>
        <w:shd w:val="clear" w:color="e2aead" w:themeColor="accent2" w:themeTint="75" w:fill="e2aead" w:themeFill="accent2" w:themeFillTint="75"/>
      </w:tcPr>
    </w:tblStylePr>
  </w:style>
  <w:style w:type="table" w:styleId="GridTable5Dark-Accent3" w:customStyle="1">
    <w:name w:val="Grid Table 5 Dark - Accent 3"/>
    <w:basedOn w:val="a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band1Horz">
      <w:tcPr>
        <w:shd w:val="clear" w:color="d0dfb2" w:themeColor="accent3" w:themeTint="75" w:fill="d0dfb2" w:themeFill="accent3" w:themeFillTint="75"/>
      </w:tcPr>
    </w:tblStylePr>
  </w:style>
  <w:style w:type="table" w:styleId="GridTable5Dark-Accent4" w:customStyle="1">
    <w:name w:val="Grid Table 5 Dark- Accent 4"/>
    <w:basedOn w:val="a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band1Horz">
      <w:tcPr>
        <w:shd w:val="clear" w:color="c4b7d4" w:themeColor="accent4" w:themeTint="75" w:fill="c4b7d4" w:themeFill="accent4" w:themeFillTint="75"/>
      </w:tcPr>
    </w:tblStylePr>
  </w:style>
  <w:style w:type="table" w:styleId="GridTable5Dark-Accent5" w:customStyle="1">
    <w:name w:val="Grid Table 5 Dark - Accent 5"/>
    <w:basedOn w:val="a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band1Horz">
      <w:tcPr>
        <w:shd w:val="clear" w:color="acd8e4" w:themeColor="accent5" w:themeTint="75" w:fill="acd8e4" w:themeFill="accent5" w:themeFillTint="75"/>
      </w:tcPr>
    </w:tblStylePr>
  </w:style>
  <w:style w:type="table" w:styleId="GridTable5Dark-Accent6" w:customStyle="1">
    <w:name w:val="Grid Table 5 Dark - Accent 6"/>
    <w:basedOn w:val="a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band1Horz"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GridTable6Colorful-Accent1" w:customStyle="1">
    <w:name w:val="Grid Table 6 Colorful - Accent 1"/>
    <w:basedOn w:val="a1"/>
    <w:uiPriority w:val="99"/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styleId="GridTable6Colorful-Accent2" w:customStyle="1">
    <w:name w:val="Grid Table 6 Colorful - Accent 2"/>
    <w:basedOn w:val="a1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styleId="GridTable6Colorful-Accent3" w:customStyle="1">
    <w:name w:val="Grid Table 6 Colorful - Accent 3"/>
    <w:basedOn w:val="a1"/>
    <w:uiPriority w:val="99"/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styleId="GridTable6Colorful-Accent4" w:customStyle="1">
    <w:name w:val="Grid Table 6 Colorful - Accent 4"/>
    <w:basedOn w:val="a1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styleId="GridTable6Colorful-Accent5" w:customStyle="1">
    <w:name w:val="Grid Table 6 Colorful - Accent 5"/>
    <w:basedOn w:val="a1"/>
    <w:uiPriority w:val="99"/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GridTable6Colorful-Accent6" w:customStyle="1">
    <w:name w:val="Grid Table 6 Colorful - Accent 6"/>
    <w:basedOn w:val="a1"/>
    <w:uiPriority w:val="99"/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GridTable7Colorful-Accent1" w:customStyle="1">
    <w:name w:val="Grid Table 7 Colorful - Accent 1"/>
    <w:basedOn w:val="a1"/>
    <w:uiPriority w:val="99"/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A6BFDD" w:themeColor="accent1" w:themeTint="8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tcBorders>
          <w:top w:val="single" w:color="A6BFDD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themeTint="8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tcBorders>
          <w:top w:val="none" w:color="000000" w:sz="4" w:space="0"/>
          <w:left w:val="single" w:color="A6BFDD" w:themeColor="accent1" w:themeTint="8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styleId="GridTable7Colorful-Accent2" w:customStyle="1">
    <w:name w:val="Grid Table 7 Colorful - Accent 2"/>
    <w:basedOn w:val="a1"/>
    <w:uiPriority w:val="99"/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styleId="GridTable7Colorful-Accent3" w:customStyle="1">
    <w:name w:val="Grid Table 7 Colorful - Accent 3"/>
    <w:basedOn w:val="a1"/>
    <w:uiPriority w:val="99"/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9ABB59" w:themeColor="accent3" w:themeTint="FE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themeTint="FE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tcBorders>
          <w:top w:val="none" w:color="000000" w:sz="4" w:space="0"/>
          <w:left w:val="single" w:color="9ABB59" w:themeColor="accent3" w:themeTint="FE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styleId="GridTable7Colorful-Accent4" w:customStyle="1">
    <w:name w:val="Grid Table 7 Colorful - Accent 4"/>
    <w:basedOn w:val="a1"/>
    <w:uiPriority w:val="99"/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styleId="GridTable7Colorful-Accent5" w:customStyle="1">
    <w:name w:val="Grid Table 7 Colorful - Accent 5"/>
    <w:basedOn w:val="a1"/>
    <w:uiPriority w:val="99"/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themeTint="9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tcBorders>
          <w:top w:val="none" w:color="000000" w:sz="4" w:space="0"/>
          <w:left w:val="single" w:color="99D0DE" w:themeColor="accent5" w:themeTint="9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GridTable7Colorful-Accent6" w:customStyle="1">
    <w:name w:val="Grid Table 7 Colorful - Accent 6"/>
    <w:basedOn w:val="a1"/>
    <w:uiPriority w:val="99"/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themeTint="9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tcBorders>
          <w:top w:val="none" w:color="000000" w:sz="4" w:space="0"/>
          <w:left w:val="single" w:color="FAC396" w:themeColor="accent6" w:themeTint="9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1Horz">
      <w:tcPr>
        <w:shd w:val="clear" w:color="bfbfbf" w:themeColor="text1" w:themeTint="40" w:fill="bfbfbf" w:themeFill="text1" w:themeFillTint="40"/>
      </w:tcPr>
    </w:tblStylePr>
  </w:style>
  <w:style w:type="table" w:styleId="ListTable1Light-Accent1" w:customStyle="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1Horz">
      <w:tcPr>
        <w:shd w:val="clear" w:color="d2dfee" w:themeColor="accent1" w:themeTint="40" w:fill="d2dfee" w:themeFill="accent1" w:themeFillTint="40"/>
      </w:tcPr>
    </w:tblStylePr>
  </w:style>
  <w:style w:type="table" w:styleId="ListTable1Light-Accent2" w:customStyle="1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1Horz">
      <w:tcPr>
        <w:shd w:val="clear" w:color="efd2d2" w:themeColor="accent2" w:themeTint="40" w:fill="efd2d2" w:themeFill="accent2" w:themeFillTint="40"/>
      </w:tcPr>
    </w:tblStylePr>
  </w:style>
  <w:style w:type="table" w:styleId="ListTable1Light-Accent3" w:customStyle="1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1Horz">
      <w:tcPr>
        <w:shd w:val="clear" w:color="e5eed5" w:themeColor="accent3" w:themeTint="40" w:fill="e5eed5" w:themeFill="accent3" w:themeFillTint="40"/>
      </w:tcPr>
    </w:tblStylePr>
  </w:style>
  <w:style w:type="table" w:styleId="ListTable1Light-Accent4" w:customStyle="1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1Horz">
      <w:tcPr>
        <w:shd w:val="clear" w:color="dfd8e7" w:themeColor="accent4" w:themeTint="40" w:fill="dfd8e7" w:themeFill="accent4" w:themeFillTint="40"/>
      </w:tcPr>
    </w:tblStylePr>
  </w:style>
  <w:style w:type="table" w:styleId="ListTable1Light-Accent5" w:customStyle="1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1Horz">
      <w:tcPr>
        <w:shd w:val="clear" w:color="d1eaf0" w:themeColor="accent5" w:themeTint="40" w:fill="d1eaf0" w:themeFill="accent5" w:themeFillTint="40"/>
      </w:tcPr>
    </w:tblStylePr>
  </w:style>
  <w:style w:type="table" w:styleId="ListTable1Light-Accent6" w:customStyle="1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1Horz"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</w:style>
  <w:style w:type="table" w:styleId="ListTable2-Accent1" w:customStyle="1">
    <w:name w:val="List Table 2 - Accent 1"/>
    <w:basedOn w:val="a1"/>
    <w:uiPriority w:val="99"/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</w:style>
  <w:style w:type="table" w:styleId="ListTable2-Accent2" w:customStyle="1">
    <w:name w:val="List Table 2 - Accent 2"/>
    <w:basedOn w:val="a1"/>
    <w:uiPriority w:val="99"/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</w:style>
  <w:style w:type="table" w:styleId="ListTable2-Accent3" w:customStyle="1">
    <w:name w:val="List Table 2 - Accent 3"/>
    <w:basedOn w:val="a1"/>
    <w:uiPriority w:val="99"/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</w:style>
  <w:style w:type="table" w:styleId="ListTable2-Accent4" w:customStyle="1">
    <w:name w:val="List Table 2 - Accent 4"/>
    <w:basedOn w:val="a1"/>
    <w:uiPriority w:val="99"/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</w:style>
  <w:style w:type="table" w:styleId="ListTable2-Accent5" w:customStyle="1">
    <w:name w:val="List Table 2 - Accent 5"/>
    <w:basedOn w:val="a1"/>
    <w:uiPriority w:val="99"/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</w:style>
  <w:style w:type="table" w:styleId="ListTable2-Accent6" w:customStyle="1">
    <w:name w:val="List Table 2 - Accent 6"/>
    <w:basedOn w:val="a1"/>
    <w:uiPriority w:val="99"/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</w:style>
  <w:style w:type="table" w:styleId="ListTable3-Accent1" w:customStyle="1">
    <w:name w:val="List Table 3 - Accent 1"/>
    <w:basedOn w:val="a1"/>
    <w:uiPriority w:val="99"/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</w:style>
  <w:style w:type="table" w:styleId="ListTable3-Accent2" w:customStyle="1">
    <w:name w:val="List Table 3 - Accent 2"/>
    <w:basedOn w:val="a1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</w:style>
  <w:style w:type="table" w:styleId="ListTable3-Accent3" w:customStyle="1">
    <w:name w:val="List Table 3 - Accent 3"/>
    <w:basedOn w:val="a1"/>
    <w:uiPriority w:val="99"/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</w:style>
  <w:style w:type="table" w:styleId="ListTable3-Accent4" w:customStyle="1">
    <w:name w:val="List Table 3 - Accent 4"/>
    <w:basedOn w:val="a1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</w:style>
  <w:style w:type="table" w:styleId="ListTable3-Accent5" w:customStyle="1">
    <w:name w:val="List Table 3 - Accent 5"/>
    <w:basedOn w:val="a1"/>
    <w:uiPriority w:val="99"/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</w:style>
  <w:style w:type="table" w:styleId="ListTable3-Accent6" w:customStyle="1">
    <w:name w:val="List Table 3 - Accent 6"/>
    <w:basedOn w:val="a1"/>
    <w:uiPriority w:val="99"/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</w:style>
  <w:style w:type="table" w:styleId="ListTable4-Accent1" w:customStyle="1">
    <w:name w:val="List Table 4 - Accent 1"/>
    <w:basedOn w:val="a1"/>
    <w:uiPriority w:val="9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</w:style>
  <w:style w:type="table" w:styleId="ListTable4-Accent2" w:customStyle="1">
    <w:name w:val="List Table 4 - Accent 2"/>
    <w:basedOn w:val="a1"/>
    <w:uiPriority w:val="9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</w:style>
  <w:style w:type="table" w:styleId="ListTable4-Accent3" w:customStyle="1">
    <w:name w:val="List Table 4 - Accent 3"/>
    <w:basedOn w:val="a1"/>
    <w:uiPriority w:val="9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</w:style>
  <w:style w:type="table" w:styleId="ListTable4-Accent4" w:customStyle="1">
    <w:name w:val="List Table 4 - Accent 4"/>
    <w:basedOn w:val="a1"/>
    <w:uiPriority w:val="9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</w:style>
  <w:style w:type="table" w:styleId="ListTable4-Accent5" w:customStyle="1">
    <w:name w:val="List Table 4 - Accent 5"/>
    <w:basedOn w:val="a1"/>
    <w:uiPriority w:val="9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</w:style>
  <w:style w:type="table" w:styleId="ListTable4-Accent6" w:customStyle="1">
    <w:name w:val="List Table 4 - Accent 6"/>
    <w:basedOn w:val="a1"/>
    <w:uiPriority w:val="9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7F7F7F" w:themeColor="text1" w:themeTint="80" w:sz="32" w:space="0"/>
          <w:bottom w:val="single" w:color="FFFFFF" w:themeColor="light1" w:sz="12" w:space="0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7f7f7f" w:themeColor="text1" w:themeTint="80" w:fill="7f7f7f" w:themeFill="text1" w:themeFillTint="80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f7f7f" w:themeColor="text1" w:themeTint="80" w:fill="7f7f7f" w:themeFill="text1" w:themeFillTint="80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f7f7f" w:themeColor="text1" w:themeTint="80" w:fill="7f7f7f" w:themeFill="text1" w:themeFillTint="80"/>
      </w:tcPr>
    </w:tblStylePr>
  </w:style>
  <w:style w:type="table" w:styleId="ListTable5Dark-Accent1" w:customStyle="1">
    <w:name w:val="List Table 5 Dark - Accent 1"/>
    <w:basedOn w:val="a1"/>
    <w:uiPriority w:val="99"/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4F81BD" w:themeColor="accent1" w:sz="32" w:space="0"/>
          <w:bottom w:val="single" w:color="FFFFFF" w:themeColor="light1" w:sz="12" w:space="0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4f81bd" w:themeColor="accent1" w:fill="4f81bd" w:themeFill="accent1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4f81bd" w:themeColor="accent1" w:fill="4f81bd" w:themeFill="accent1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4f81bd" w:themeColor="accent1" w:fill="4f81bd" w:themeFill="accent1"/>
      </w:tcPr>
    </w:tblStylePr>
  </w:style>
  <w:style w:type="table" w:styleId="ListTable5Dark-Accent2" w:customStyle="1">
    <w:name w:val="List Table 5 Dark - Accent 2"/>
    <w:basedOn w:val="a1"/>
    <w:uiPriority w:val="99"/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D99695" w:themeColor="accent2" w:themeTint="97" w:sz="32" w:space="0"/>
          <w:bottom w:val="single" w:color="FFFFFF" w:themeColor="light1" w:sz="12" w:space="0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d99695" w:themeColor="accent2" w:themeTint="97" w:fill="d99695" w:themeFill="accent2" w:themeFillTint="97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d99695" w:themeColor="accent2" w:themeTint="97" w:fill="d99695" w:themeFill="accent2" w:themeFillTint="97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d99695" w:themeColor="accent2" w:themeTint="97" w:fill="d99695" w:themeFill="accent2" w:themeFillTint="97"/>
      </w:tcPr>
    </w:tblStylePr>
  </w:style>
  <w:style w:type="table" w:styleId="ListTable5Dark-Accent3" w:customStyle="1">
    <w:name w:val="List Table 5 Dark - Accent 3"/>
    <w:basedOn w:val="a1"/>
    <w:uiPriority w:val="99"/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C3D69B" w:themeColor="accent3" w:themeTint="98" w:sz="32" w:space="0"/>
          <w:bottom w:val="single" w:color="FFFFFF" w:themeColor="light1" w:sz="12" w:space="0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c3d69b" w:themeColor="accent3" w:themeTint="98" w:fill="c3d69b" w:themeFill="accent3" w:themeFillTint="98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3d69b" w:themeColor="accent3" w:themeTint="98" w:fill="c3d69b" w:themeFill="accent3" w:themeFillTint="98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3d69b" w:themeColor="accent3" w:themeTint="98" w:fill="c3d69b" w:themeFill="accent3" w:themeFillTint="98"/>
      </w:tcPr>
    </w:tblStylePr>
  </w:style>
  <w:style w:type="table" w:styleId="ListTable5Dark-Accent4" w:customStyle="1">
    <w:name w:val="List Table 5 Dark - Accent 4"/>
    <w:basedOn w:val="a1"/>
    <w:uiPriority w:val="99"/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B2A1C6" w:themeColor="accent4" w:themeTint="9A" w:sz="32" w:space="0"/>
          <w:bottom w:val="single" w:color="FFFFFF" w:themeColor="light1" w:sz="12" w:space="0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b2a1c6" w:themeColor="accent4" w:themeTint="9A" w:fill="b2a1c6" w:themeFill="accent4" w:themeFillTint="9A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b2a1c6" w:themeColor="accent4" w:themeTint="9A" w:fill="b2a1c6" w:themeFill="accent4" w:themeFillTint="9A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b2a1c6" w:themeColor="accent4" w:themeTint="9A" w:fill="b2a1c6" w:themeFill="accent4" w:themeFillTint="9A"/>
      </w:tcPr>
    </w:tblStylePr>
  </w:style>
  <w:style w:type="table" w:styleId="ListTable5Dark-Accent5" w:customStyle="1">
    <w:name w:val="List Table 5 Dark - Accent 5"/>
    <w:basedOn w:val="a1"/>
    <w:uiPriority w:val="99"/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92CCDC" w:themeColor="accent5" w:themeTint="9A" w:sz="32" w:space="0"/>
          <w:bottom w:val="single" w:color="FFFFFF" w:themeColor="light1" w:sz="12" w:space="0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92ccdc" w:themeColor="accent5" w:themeTint="9A" w:fill="92ccdc" w:themeFill="accent5" w:themeFillTint="9A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92ccdc" w:themeColor="accent5" w:themeTint="9A" w:fill="92ccdc" w:themeFill="accent5" w:themeFillTint="9A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92ccdc" w:themeColor="accent5" w:themeTint="9A" w:fill="92ccdc" w:themeFill="accent5" w:themeFillTint="9A"/>
      </w:tcPr>
    </w:tblStylePr>
  </w:style>
  <w:style w:type="table" w:styleId="ListTable5Dark-Accent6" w:customStyle="1">
    <w:name w:val="List Table 5 Dark - Accent 6"/>
    <w:basedOn w:val="a1"/>
    <w:uiPriority w:val="99"/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FAC090" w:themeColor="accent6" w:themeTint="98" w:sz="32" w:space="0"/>
          <w:bottom w:val="single" w:color="FFFFFF" w:themeColor="light1" w:sz="12" w:space="0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fac090" w:themeColor="accent6" w:themeTint="98" w:fill="fac090" w:themeFill="accent6" w:themeFillTint="98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ac090" w:themeColor="accent6" w:themeTint="98" w:fill="fac090" w:themeFill="accent6" w:themeFillTint="98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styleId="ListTable6Colorful-Accent1" w:customStyle="1">
    <w:name w:val="List Table 6 Colorful - Accent 1"/>
    <w:basedOn w:val="a1"/>
    <w:uiPriority w:val="99"/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</w:tbl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styleId="ListTable6Colorful-Accent2" w:customStyle="1">
    <w:name w:val="List Table 6 Colorful - Accent 2"/>
    <w:basedOn w:val="a1"/>
    <w:uiPriority w:val="99"/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styleId="ListTable6Colorful-Accent3" w:customStyle="1">
    <w:name w:val="List Table 6 Colorful - Accent 3"/>
    <w:basedOn w:val="a1"/>
    <w:uiPriority w:val="99"/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styleId="ListTable6Colorful-Accent4" w:customStyle="1">
    <w:name w:val="List Table 6 Colorful - Accent 4"/>
    <w:basedOn w:val="a1"/>
    <w:uiPriority w:val="99"/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styleId="ListTable6Colorful-Accent5" w:customStyle="1">
    <w:name w:val="List Table 6 Colorful - Accent 5"/>
    <w:basedOn w:val="a1"/>
    <w:uiPriority w:val="99"/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styleId="ListTable6Colorful-Accent6" w:customStyle="1">
    <w:name w:val="List Table 6 Colorful - Accent 6"/>
    <w:basedOn w:val="a1"/>
    <w:uiPriority w:val="99"/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ListTable7Colorful-Accent1" w:customStyle="1">
    <w:name w:val="List Table 7 Colorful - Accent 1"/>
    <w:basedOn w:val="a1"/>
    <w:uiPriority w:val="99"/>
    <w:tblPr>
      <w:tblStyleRowBandSize w:val="1"/>
      <w:tblStyleColBandSize w:val="1"/>
      <w:tblBorders>
        <w:right w:val="single" w:color="4F81BD" w:themeColor="accent1" w:sz="4" w:space="0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styleId="ListTable7Colorful-Accent2" w:customStyle="1">
    <w:name w:val="List Table 7 Colorful - Accent 2"/>
    <w:basedOn w:val="a1"/>
    <w:uiPriority w:val="99"/>
    <w:tblPr>
      <w:tblStyleRowBandSize w:val="1"/>
      <w:tblStyleColBandSize w:val="1"/>
      <w:tblBorders>
        <w:right w:val="single" w:color="D99695" w:themeColor="accent2" w:themeTint="97" w:sz="4" w:space="0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styleId="ListTable7Colorful-Accent3" w:customStyle="1">
    <w:name w:val="List Table 7 Colorful - Accent 3"/>
    <w:basedOn w:val="a1"/>
    <w:uiPriority w:val="99"/>
    <w:tblPr>
      <w:tblStyleRowBandSize w:val="1"/>
      <w:tblStyleColBandSize w:val="1"/>
      <w:tblBorders>
        <w:right w:val="single" w:color="C3D69B" w:themeColor="accent3" w:themeTint="98" w:sz="4" w:space="0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C3D69B" w:themeColor="accent3" w:themeTint="98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tcBorders>
          <w:top w:val="single" w:color="C3D69B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themeTint="98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tcBorders>
          <w:top w:val="none" w:color="000000" w:sz="4" w:space="0"/>
          <w:left w:val="single" w:color="C3D69B" w:themeColor="accent3" w:themeTint="98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styleId="ListTable7Colorful-Accent4" w:customStyle="1">
    <w:name w:val="List Table 7 Colorful - Accent 4"/>
    <w:basedOn w:val="a1"/>
    <w:uiPriority w:val="99"/>
    <w:tblPr>
      <w:tblStyleRowBandSize w:val="1"/>
      <w:tblStyleColBandSize w:val="1"/>
      <w:tblBorders>
        <w:right w:val="single" w:color="B2A1C6" w:themeColor="accent4" w:themeTint="9A" w:sz="4" w:space="0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styleId="ListTable7Colorful-Accent5" w:customStyle="1">
    <w:name w:val="List Table 7 Colorful - Accent 5"/>
    <w:basedOn w:val="a1"/>
    <w:uiPriority w:val="99"/>
    <w:tblPr>
      <w:tblStyleRowBandSize w:val="1"/>
      <w:tblStyleColBandSize w:val="1"/>
      <w:tblBorders>
        <w:right w:val="single" w:color="92CCDC" w:themeColor="accent5" w:themeTint="9A" w:sz="4" w:space="0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92CCDC" w:themeColor="accent5" w:themeTint="9A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tcBorders>
          <w:top w:val="single" w:color="92CCDC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themeTint="9A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tcBorders>
          <w:top w:val="none" w:color="000000" w:sz="4" w:space="0"/>
          <w:left w:val="single" w:color="92CCDC" w:themeColor="accent5" w:themeTint="9A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styleId="ListTable7Colorful-Accent6" w:customStyle="1">
    <w:name w:val="List Table 7 Colorful - Accent 6"/>
    <w:basedOn w:val="a1"/>
    <w:uiPriority w:val="99"/>
    <w:tblPr>
      <w:tblStyleRowBandSize w:val="1"/>
      <w:tblStyleColBandSize w:val="1"/>
      <w:tblBorders>
        <w:right w:val="single" w:color="FAC090" w:themeColor="accent6" w:themeTint="98" w:sz="4" w:space="0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FAC090" w:themeColor="accent6" w:themeTint="98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tcBorders>
          <w:top w:val="single" w:color="FAC09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themeTint="98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tcBorders>
          <w:top w:val="none" w:color="000000" w:sz="4" w:space="0"/>
          <w:left w:val="single" w:color="FAC090" w:themeColor="accent6" w:themeTint="98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Lined-Accent" w:customStyle="1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</w:style>
  <w:style w:type="table" w:styleId="Lined-Accent1" w:customStyle="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</w:style>
  <w:style w:type="table" w:styleId="Lined-Accent2" w:customStyle="1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</w:style>
  <w:style w:type="table" w:styleId="Lined-Accent3" w:customStyle="1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</w:style>
  <w:style w:type="table" w:styleId="Lined-Accent4" w:customStyle="1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</w:style>
  <w:style w:type="table" w:styleId="Lined-Accent5" w:customStyle="1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</w:style>
  <w:style w:type="table" w:styleId="Lined-Accent6" w:customStyle="1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</w:style>
  <w:style w:type="table" w:styleId="BorderedLined-Accent" w:customStyle="1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</w:style>
  <w:style w:type="table" w:styleId="BorderedLined-Accent1" w:customStyle="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</w:style>
  <w:style w:type="table" w:styleId="BorderedLined-Accent2" w:customStyle="1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</w:style>
  <w:style w:type="table" w:styleId="BorderedLined-Accent3" w:customStyle="1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</w:style>
  <w:style w:type="table" w:styleId="BorderedLined-Accent4" w:customStyle="1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</w:style>
  <w:style w:type="table" w:styleId="BorderedLined-Accent5" w:customStyle="1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</w:style>
  <w:style w:type="table" w:styleId="BorderedLined-Accent6" w:customStyle="1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</w:style>
  <w:style w:type="table" w:styleId="Bordered" w:customStyle="1">
    <w:name w:val="Bordered"/>
    <w:basedOn w:val="a1"/>
    <w:uiPriority w:val="99"/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</w:style>
  <w:style w:type="table" w:styleId="Bordered-Accent1" w:customStyle="1">
    <w:name w:val="Bordered - Accent 1"/>
    <w:basedOn w:val="a1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</w:style>
  <w:style w:type="table" w:styleId="Bordered-Accent2" w:customStyle="1">
    <w:name w:val="Bordered - Accent 2"/>
    <w:basedOn w:val="a1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</w:style>
  <w:style w:type="table" w:styleId="Bordered-Accent3" w:customStyle="1">
    <w:name w:val="Bordered - Accent 3"/>
    <w:basedOn w:val="a1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</w:style>
  <w:style w:type="table" w:styleId="Bordered-Accent4" w:customStyle="1">
    <w:name w:val="Bordered - Accent 4"/>
    <w:basedOn w:val="a1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</w:style>
  <w:style w:type="table" w:styleId="Bordered-Accent5" w:customStyle="1">
    <w:name w:val="Bordered - Accent 5"/>
    <w:basedOn w:val="a1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</w:style>
  <w:style w:type="table" w:styleId="Bordered-Accent6" w:customStyle="1">
    <w:name w:val="Bordered - Accent 6"/>
    <w:basedOn w:val="a1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</w:style>
  <w:style w:type="character" w:styleId="ac">
    <w:name w:val="Hyperlink"/>
    <w:uiPriority w:val="99"/>
    <w:unhideWhenUsed/>
    <w:rPr>
      <w:color w:val="0000ff" w:themeColor="hyperlink"/>
      <w:u w:val="single"/>
    </w:rPr>
  </w:style>
  <w:style w:type="paragraph" w:styleId="ad">
    <w:name w:val="footnote text"/>
    <w:basedOn w:val="a"/>
    <w:link w:val="ae"/>
    <w:uiPriority w:val="99"/>
    <w:semiHidden/>
    <w:unhideWhenUsed/>
    <w:pPr>
      <w:spacing w:after="40" w:line="240" w:lineRule="auto"/>
    </w:pPr>
    <w:rPr>
      <w:sz w:val="18"/>
    </w:rPr>
  </w:style>
  <w:style w:type="character" w:styleId="ae" w:customStyle="1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pPr>
      <w:spacing w:after="0" w:line="240" w:lineRule="auto"/>
    </w:pPr>
    <w:rPr>
      <w:sz w:val="20"/>
    </w:rPr>
  </w:style>
  <w:style w:type="character" w:styleId="af1" w:customStyle="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  <w:pPr>
      <w:spacing w:after="0"/>
    </w:pPr>
  </w:style>
  <w:style w:type="character" w:styleId="af5">
    <w:name w:val="annotation reference"/>
    <w:uiPriority w:val="99"/>
    <w:unhideWhenUsed/>
    <w:rPr>
      <w:sz w:val="16"/>
      <w:szCs w:val="16"/>
    </w:rPr>
  </w:style>
  <w:style w:type="paragraph" w:styleId="af6">
    <w:name w:val="Balloon Text"/>
    <w:basedOn w:val="a"/>
    <w:link w:val="af7"/>
    <w:uiPriority w:val="99"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33">
    <w:name w:val="Body Text Indent 3"/>
    <w:basedOn w:val="a"/>
    <w:link w:val="34"/>
    <w:pPr>
      <w:spacing w:after="0" w:line="240" w:lineRule="auto"/>
      <w:jc w:val="center"/>
    </w:pPr>
    <w:rPr>
      <w:rFonts w:eastAsia="Times New Roman"/>
      <w:sz w:val="24"/>
      <w:szCs w:val="20"/>
      <w:lang w:eastAsia="ru-RU"/>
    </w:rPr>
  </w:style>
  <w:style w:type="paragraph" w:styleId="af8">
    <w:name w:val="annotation text"/>
    <w:basedOn w:val="a"/>
    <w:link w:val="af9"/>
    <w:uiPriority w:val="99"/>
    <w:unhideWhenUsed/>
    <w:pPr>
      <w:spacing w:line="240" w:lineRule="auto"/>
    </w:pPr>
    <w:rPr>
      <w:sz w:val="20"/>
      <w:szCs w:val="20"/>
    </w:rPr>
  </w:style>
  <w:style w:type="paragraph" w:styleId="afa">
    <w:name w:val="annotation subject"/>
    <w:basedOn w:val="af8"/>
    <w:next w:val="af8"/>
    <w:link w:val="afb"/>
    <w:uiPriority w:val="99"/>
    <w:unhideWhenUsed/>
    <w:rPr>
      <w:b/>
      <w:bCs/>
    </w:rPr>
  </w:style>
  <w:style w:type="paragraph" w:styleId="afc">
    <w:name w:val="header"/>
    <w:basedOn w:val="a"/>
    <w:link w:val="afd"/>
    <w:uiPriority w:val="99"/>
    <w:unhideWhenUsed/>
    <w:pPr>
      <w:tabs>
        <w:tab w:val="center" w:pos="4677"/>
        <w:tab w:val="right" w:pos="9355"/>
      </w:tabs>
    </w:pPr>
  </w:style>
  <w:style w:type="paragraph" w:styleId="afe">
    <w:name w:val="footer"/>
    <w:basedOn w:val="a"/>
    <w:link w:val="aff"/>
    <w:uiPriority w:val="99"/>
    <w:unhideWhenUsed/>
    <w:pPr>
      <w:tabs>
        <w:tab w:val="center" w:pos="4677"/>
        <w:tab w:val="right" w:pos="9355"/>
      </w:tabs>
    </w:pPr>
  </w:style>
  <w:style w:type="paragraph" w:styleId="aff0">
    <w:name w:val="Normal (Web)"/>
    <w:basedOn w:val="a"/>
    <w:unhideWhenUsed/>
    <w:qFormat/>
    <w:pPr>
      <w:spacing w:after="0" w:line="240" w:lineRule="auto"/>
      <w:jc w:val="center"/>
    </w:pPr>
    <w:rPr>
      <w:rFonts w:eastAsia="Times New Roman"/>
      <w:sz w:val="24"/>
      <w:szCs w:val="20"/>
      <w:lang w:eastAsia="ru-RU"/>
    </w:rPr>
  </w:style>
  <w:style w:type="character" w:styleId="10" w:customStyle="1">
    <w:name w:val="Заголовок 1 Знак"/>
    <w:link w:val="1"/>
    <w:uiPriority w:val="9"/>
    <w:rPr>
      <w:rFonts w:ascii="Cambria" w:hAnsi="Cambria" w:eastAsia="Times New Roman" w:cs="Times New Roman"/>
      <w:color w:val="365f91"/>
      <w:sz w:val="32"/>
      <w:szCs w:val="32"/>
    </w:rPr>
  </w:style>
  <w:style w:type="character" w:styleId="20" w:customStyle="1">
    <w:name w:val="Заголовок 2 Знак"/>
    <w:link w:val="2"/>
    <w:uiPriority w:val="9"/>
    <w:rPr>
      <w:rFonts w:ascii="Cambria" w:hAnsi="Cambria" w:eastAsia="Times New Roman" w:cs="Times New Roman"/>
      <w:color w:val="365f91"/>
      <w:sz w:val="26"/>
      <w:szCs w:val="26"/>
    </w:rPr>
  </w:style>
  <w:style w:type="character" w:styleId="30" w:customStyle="1">
    <w:name w:val="Заголовок 3 Знак"/>
    <w:link w:val="3"/>
    <w:uiPriority w:val="9"/>
    <w:rPr>
      <w:rFonts w:ascii="Cambria" w:hAnsi="Cambria" w:eastAsia="Times New Roman" w:cs="Times New Roman"/>
      <w:color w:val="243f60"/>
      <w:sz w:val="24"/>
      <w:szCs w:val="24"/>
    </w:rPr>
  </w:style>
  <w:style w:type="character" w:styleId="af7" w:customStyle="1">
    <w:name w:val="Текст выноски Знак"/>
    <w:link w:val="af6"/>
    <w:uiPriority w:val="99"/>
    <w:semiHidden/>
    <w:rPr>
      <w:rFonts w:ascii="Tahoma" w:hAnsi="Tahoma" w:cs="Tahoma"/>
      <w:sz w:val="16"/>
      <w:szCs w:val="16"/>
    </w:rPr>
  </w:style>
  <w:style w:type="character" w:styleId="34" w:customStyle="1">
    <w:name w:val="Основной текст с отступом 3 Знак"/>
    <w:link w:val="33"/>
    <w:rPr>
      <w:rFonts w:eastAsia="Times New Roman"/>
      <w:sz w:val="24"/>
    </w:rPr>
  </w:style>
  <w:style w:type="character" w:styleId="af9" w:customStyle="1">
    <w:name w:val="Текст примечания Знак"/>
    <w:link w:val="af8"/>
    <w:uiPriority w:val="99"/>
    <w:semiHidden/>
    <w:rPr>
      <w:sz w:val="20"/>
      <w:szCs w:val="20"/>
    </w:rPr>
  </w:style>
  <w:style w:type="character" w:styleId="afb" w:customStyle="1">
    <w:name w:val="Тема примечания Знак"/>
    <w:link w:val="afa"/>
    <w:uiPriority w:val="99"/>
    <w:semiHidden/>
    <w:rPr>
      <w:b/>
      <w:bCs/>
      <w:sz w:val="20"/>
      <w:szCs w:val="20"/>
    </w:rPr>
  </w:style>
  <w:style w:type="character" w:styleId="afd" w:customStyle="1">
    <w:name w:val="Верхний колонтитул Знак"/>
    <w:link w:val="afc"/>
    <w:uiPriority w:val="99"/>
    <w:rPr>
      <w:sz w:val="22"/>
      <w:szCs w:val="22"/>
      <w:lang w:eastAsia="en-US"/>
    </w:rPr>
  </w:style>
  <w:style w:type="character" w:styleId="aff" w:customStyle="1">
    <w:name w:val="Нижний колонтитул Знак"/>
    <w:link w:val="afe"/>
    <w:uiPriority w:val="99"/>
    <w:rPr>
      <w:sz w:val="22"/>
      <w:szCs w:val="22"/>
      <w:lang w:eastAsia="en-US"/>
    </w:rPr>
  </w:style>
  <w:style w:type="paragraph" w:styleId="aff1">
    <w:name w:val="List Paragraph"/>
    <w:basedOn w:val="a"/>
    <w:uiPriority w:val="34"/>
    <w:qFormat/>
    <w:pPr>
      <w:ind w:left="720"/>
      <w:contextualSpacing/>
    </w:pPr>
  </w:style>
  <w:style w:type="paragraph" w:styleId="aff2">
    <w:name w:val="No Spacing"/>
    <w:uiPriority w:val="1"/>
    <w:qFormat/>
    <w:rPr>
      <w:sz w:val="22"/>
      <w:szCs w:val="22"/>
      <w:lang w:eastAsia="en-US"/>
    </w:rPr>
  </w:style>
  <w:style w:type="paragraph" w:styleId="ConsPlusNormal" w:customStyle="1">
    <w:name w:val="ConsPlusNormal"/>
    <w:link w:val="ConsPlusNormal0"/>
    <w:qFormat/>
    <w:pPr>
      <w:widowControl w:val="off"/>
    </w:pPr>
    <w:rPr>
      <w:rFonts w:ascii="Arial" w:hAnsi="Arial" w:eastAsia="Times New Roman" w:cs="Arial"/>
    </w:rPr>
  </w:style>
  <w:style w:type="paragraph" w:styleId="ConsPlusTitle" w:customStyle="1">
    <w:name w:val="ConsPlusTitle"/>
    <w:pPr>
      <w:widowControl w:val="off"/>
    </w:pPr>
    <w:rPr>
      <w:rFonts w:ascii="Arial" w:hAnsi="Arial" w:eastAsia="Times New Roman" w:cs="Arial"/>
      <w:b/>
    </w:rPr>
  </w:style>
  <w:style w:type="paragraph" w:styleId="StGen0" w:customStyle="1">
    <w:name w:val="StGen0"/>
    <w:uiPriority w:val="99"/>
    <w:semiHidden/>
    <w:rPr>
      <w:sz w:val="22"/>
      <w:szCs w:val="22"/>
      <w:lang w:eastAsia="en-US"/>
    </w:rPr>
  </w:style>
  <w:style w:type="character" w:styleId="font21" w:customStyle="1">
    <w:name w:val="font21"/>
    <w:rPr>
      <w:rFonts w:hint="default" w:ascii="Times New Roman" w:hAnsi="Times New Roman" w:cs="Times New Roman"/>
      <w:color w:val="000000"/>
      <w:u w:val="none"/>
    </w:rPr>
  </w:style>
  <w:style w:type="character" w:styleId="font41" w:customStyle="1">
    <w:name w:val="font41"/>
    <w:rPr>
      <w:rFonts w:hint="default" w:ascii="Times New Roman" w:hAnsi="Times New Roman" w:cs="Times New Roman"/>
      <w:color w:val="000000"/>
      <w:u w:val="none"/>
    </w:rPr>
  </w:style>
  <w:style w:type="character" w:styleId="font11" w:customStyle="1">
    <w:name w:val="font11"/>
    <w:rPr>
      <w:rFonts w:hint="default" w:ascii="Times New Roman" w:hAnsi="Times New Roman" w:cs="Times New Roman"/>
      <w:color w:val="000000"/>
      <w:u w:val="none"/>
    </w:rPr>
  </w:style>
  <w:style w:type="character" w:styleId="ConsPlusNormal0" w:customStyle="1">
    <w:name w:val="ConsPlusNormal Знак"/>
    <w:link w:val="ConsPlusNormal"/>
    <w:rPr>
      <w:rFonts w:ascii="Arial" w:hAnsi="Arial" w:eastAsia="Times New Roman" w:cs="Arial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haracters>5066</Characters>
  <CharactersWithSpaces>5943</CharactersWithSpaces>
  <Company>*</Company>
  <DocSecurity>0</DocSecurity>
  <HyperlinksChanged>false</HyperlinksChanged>
  <Lines>42</Lines>
  <LinksUpToDate>false</LinksUpToDate>
  <Pages>4</Pages>
  <Paragraphs>11</Paragraphs>
  <ScaleCrop>false</ScaleCrop>
  <SharedDoc>false</SharedDoc>
  <Template>Normal</Template>
  <TotalTime>0</TotalTime>
  <Words>888</Word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Голубкова Елена Валентиновна</dc:creator>
  <cp:lastModifiedBy>BordunAO</cp:lastModifiedBy>
  <cp:revision>8</cp:revision>
  <dcterms:created xsi:type="dcterms:W3CDTF">2025-06-03T04:47:00Z</dcterms:created>
  <dcterms:modified xsi:type="dcterms:W3CDTF">2025-11-25T06:07:00Z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1049-12.2.0.13431</vt:lpwstr>
  </property>
  <property fmtid="{D5CDD505-2E9C-101B-9397-08002B2CF9AE}" pid="3" name="ICV">
    <vt:lpwstr>A6A4817800AF415696CCE2E2E934C1D2_13</vt:lpwstr>
  </property>
</Properties>
</file>